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FC72B" w14:textId="07C2527D" w:rsidR="003A77ED" w:rsidRDefault="00F93FDD" w:rsidP="003A77ED">
      <w:r>
        <w:rPr>
          <w:rFonts w:asciiTheme="majorBidi" w:hAnsiTheme="majorBidi" w:cstheme="majorBidi"/>
          <w:noProof/>
        </w:rPr>
        <mc:AlternateContent>
          <mc:Choice Requires="wps">
            <w:drawing>
              <wp:anchor distT="0" distB="0" distL="114300" distR="114300" simplePos="0" relativeHeight="251660288" behindDoc="0" locked="0" layoutInCell="1" allowOverlap="1" wp14:anchorId="1C465DD2" wp14:editId="05631120">
                <wp:simplePos x="0" y="0"/>
                <wp:positionH relativeFrom="column">
                  <wp:posOffset>-33020</wp:posOffset>
                </wp:positionH>
                <wp:positionV relativeFrom="paragraph">
                  <wp:posOffset>-185420</wp:posOffset>
                </wp:positionV>
                <wp:extent cx="3581400" cy="676275"/>
                <wp:effectExtent l="0" t="0" r="0" b="9525"/>
                <wp:wrapNone/>
                <wp:docPr id="625914797" name="Rectangle 1"/>
                <wp:cNvGraphicFramePr/>
                <a:graphic xmlns:a="http://schemas.openxmlformats.org/drawingml/2006/main">
                  <a:graphicData uri="http://schemas.microsoft.com/office/word/2010/wordprocessingShape">
                    <wps:wsp>
                      <wps:cNvSpPr/>
                      <wps:spPr>
                        <a:xfrm>
                          <a:off x="0" y="0"/>
                          <a:ext cx="3581400" cy="676275"/>
                        </a:xfrm>
                        <a:prstGeom prst="rect">
                          <a:avLst/>
                        </a:prstGeom>
                        <a:solidFill>
                          <a:srgbClr val="CCCC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EE7B1A" w14:textId="7024251D" w:rsidR="003A77ED" w:rsidRPr="00F93FDD" w:rsidRDefault="00F93FDD" w:rsidP="003A77ED">
                            <w:pPr>
                              <w:spacing w:after="0"/>
                              <w:jc w:val="center"/>
                              <w:rPr>
                                <w:color w:val="1F3864" w:themeColor="accent1" w:themeShade="80"/>
                                <w:sz w:val="36"/>
                                <w:szCs w:val="36"/>
                              </w:rPr>
                            </w:pPr>
                            <w:r w:rsidRPr="00F93FDD">
                              <w:rPr>
                                <w:b/>
                                <w:bCs/>
                                <w:color w:val="1F3864" w:themeColor="accent1" w:themeShade="80"/>
                                <w:sz w:val="56"/>
                                <w:szCs w:val="56"/>
                              </w:rPr>
                              <w:t>Green Deal Européen</w:t>
                            </w:r>
                            <w:r>
                              <w:rPr>
                                <w:b/>
                                <w:bCs/>
                                <w:color w:val="1F3864" w:themeColor="accent1" w:themeShade="80"/>
                                <w:sz w:val="56"/>
                                <w:szCs w:val="56"/>
                              </w:rPr>
                              <w:t xml:space="preserve"> </w:t>
                            </w:r>
                            <w:r w:rsidRPr="00F93FDD">
                              <w:rPr>
                                <w:b/>
                                <w:bCs/>
                                <w:color w:val="1F3864" w:themeColor="accent1" w:themeShade="80"/>
                                <w:sz w:val="40"/>
                                <w:szCs w:val="40"/>
                              </w:rPr>
                              <w:t>:</w:t>
                            </w:r>
                            <w:r w:rsidRPr="00F93FDD">
                              <w:rPr>
                                <w:b/>
                                <w:bCs/>
                                <w:color w:val="1F3864" w:themeColor="accent1" w:themeShade="80"/>
                                <w:sz w:val="56"/>
                                <w:szCs w:val="56"/>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C465DD2" id="Rectangle 1" o:spid="_x0000_s1026" style="position:absolute;margin-left:-2.6pt;margin-top:-14.6pt;width:282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" fillcolor="#ccf" stroked="f" strokeweight="1pt">
                <v:textbox>
                  <w:txbxContent>
                    <w:p w14:paraId="18EE7B1A" w14:textId="7024251D" w:rsidR="003A77ED" w:rsidRPr="00F93FDD" w:rsidRDefault="00F93FDD" w:rsidP="003A77ED">
                      <w:pPr>
                        <w:spacing w:after="0"/>
                        <w:jc w:val="center"/>
                        <w:rPr>
                          <w:color w:val="1F3864" w:themeColor="accent1" w:themeShade="80"/>
                          <w:sz w:val="36"/>
                          <w:szCs w:val="36"/>
                        </w:rPr>
                      </w:pPr>
                      <w:r w:rsidRPr="00F93FDD">
                        <w:rPr>
                          <w:b/>
                          <w:bCs/>
                          <w:color w:val="1F3864" w:themeColor="accent1" w:themeShade="80"/>
                          <w:sz w:val="56"/>
                          <w:szCs w:val="56"/>
                        </w:rPr>
                        <w:t>Green Deal Européen</w:t>
                      </w:r>
                      <w:r>
                        <w:rPr>
                          <w:b/>
                          <w:bCs/>
                          <w:color w:val="1F3864" w:themeColor="accent1" w:themeShade="80"/>
                          <w:sz w:val="56"/>
                          <w:szCs w:val="56"/>
                        </w:rPr>
                        <w:t xml:space="preserve"> </w:t>
                      </w:r>
                      <w:r w:rsidRPr="00F93FDD">
                        <w:rPr>
                          <w:b/>
                          <w:bCs/>
                          <w:color w:val="1F3864" w:themeColor="accent1" w:themeShade="80"/>
                          <w:sz w:val="40"/>
                          <w:szCs w:val="40"/>
                        </w:rPr>
                        <w:t>:</w:t>
                      </w:r>
                      <w:r w:rsidRPr="00F93FDD">
                        <w:rPr>
                          <w:b/>
                          <w:bCs/>
                          <w:color w:val="1F3864" w:themeColor="accent1" w:themeShade="80"/>
                          <w:sz w:val="56"/>
                          <w:szCs w:val="56"/>
                        </w:rPr>
                        <w:t> </w:t>
                      </w:r>
                    </w:p>
                  </w:txbxContent>
                </v:textbox>
              </v:rect>
            </w:pict>
          </mc:Fallback>
        </mc:AlternateContent>
      </w:r>
      <w:r w:rsidR="003A77ED" w:rsidRPr="00EE5519">
        <w:rPr>
          <w:rFonts w:asciiTheme="majorBidi" w:hAnsiTheme="majorBidi" w:cstheme="majorBidi"/>
          <w:noProof/>
        </w:rPr>
        <w:drawing>
          <wp:anchor distT="0" distB="0" distL="114300" distR="114300" simplePos="0" relativeHeight="251659264" behindDoc="1" locked="0" layoutInCell="1" allowOverlap="1" wp14:anchorId="573AC89E" wp14:editId="4407386B">
            <wp:simplePos x="0" y="0"/>
            <wp:positionH relativeFrom="column">
              <wp:posOffset>-956945</wp:posOffset>
            </wp:positionH>
            <wp:positionV relativeFrom="paragraph">
              <wp:posOffset>-909320</wp:posOffset>
            </wp:positionV>
            <wp:extent cx="7603958" cy="1275080"/>
            <wp:effectExtent l="0" t="0" r="0" b="1270"/>
            <wp:wrapNone/>
            <wp:docPr id="1247994318" name="Image 4" descr="10 faits essentiels sur l'économie de la mer que vous devez connaî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faits essentiels sur l'économie de la mer que vous devez connaître"/>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66869"/>
                    <a:stretch>
                      <a:fillRect/>
                    </a:stretch>
                  </pic:blipFill>
                  <pic:spPr bwMode="auto">
                    <a:xfrm>
                      <a:off x="0" y="0"/>
                      <a:ext cx="7603958" cy="127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9A4C32" w14:textId="44E33D75" w:rsidR="003A77ED" w:rsidRDefault="00F93FDD" w:rsidP="000D5A84">
      <w:pPr>
        <w:jc w:val="both"/>
      </w:pPr>
      <w:r>
        <w:rPr>
          <w:rFonts w:asciiTheme="majorBidi" w:hAnsiTheme="majorBidi" w:cstheme="majorBidi"/>
          <w:noProof/>
        </w:rPr>
        <mc:AlternateContent>
          <mc:Choice Requires="wps">
            <w:drawing>
              <wp:anchor distT="0" distB="0" distL="114300" distR="114300" simplePos="0" relativeHeight="251662336" behindDoc="0" locked="0" layoutInCell="1" allowOverlap="1" wp14:anchorId="75D2A833" wp14:editId="020917B9">
                <wp:simplePos x="0" y="0"/>
                <wp:positionH relativeFrom="column">
                  <wp:posOffset>3195955</wp:posOffset>
                </wp:positionH>
                <wp:positionV relativeFrom="paragraph">
                  <wp:posOffset>81280</wp:posOffset>
                </wp:positionV>
                <wp:extent cx="2590800" cy="381000"/>
                <wp:effectExtent l="0" t="0" r="0" b="0"/>
                <wp:wrapNone/>
                <wp:docPr id="1357880645" name="Rectangle 1"/>
                <wp:cNvGraphicFramePr/>
                <a:graphic xmlns:a="http://schemas.openxmlformats.org/drawingml/2006/main">
                  <a:graphicData uri="http://schemas.microsoft.com/office/word/2010/wordprocessingShape">
                    <wps:wsp>
                      <wps:cNvSpPr/>
                      <wps:spPr>
                        <a:xfrm>
                          <a:off x="0" y="0"/>
                          <a:ext cx="2590800" cy="381000"/>
                        </a:xfrm>
                        <a:prstGeom prst="rect">
                          <a:avLst/>
                        </a:prstGeom>
                        <a:solidFill>
                          <a:srgbClr val="CCCC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8B78E0" w14:textId="5E0F04E2" w:rsidR="00F93FDD" w:rsidRPr="00F93FDD" w:rsidRDefault="00F93FDD" w:rsidP="00F93FDD">
                            <w:pPr>
                              <w:spacing w:after="0"/>
                              <w:jc w:val="center"/>
                              <w:rPr>
                                <w:color w:val="1F3864" w:themeColor="accent1" w:themeShade="80"/>
                                <w:sz w:val="32"/>
                                <w:szCs w:val="32"/>
                              </w:rPr>
                            </w:pPr>
                            <w:r w:rsidRPr="00F93FDD">
                              <w:rPr>
                                <w:b/>
                                <w:bCs/>
                                <w:color w:val="1F3864" w:themeColor="accent1" w:themeShade="80"/>
                                <w:sz w:val="32"/>
                                <w:szCs w:val="32"/>
                              </w:rPr>
                              <w:t>Stratégie de décarbonation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5D2A833" id="_x0000_s1027" style="position:absolute;left:0;text-align:left;margin-left:251.65pt;margin-top:6.4pt;width:204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" fillcolor="#ccf" stroked="f" strokeweight="1pt">
                <v:textbox>
                  <w:txbxContent>
                    <w:p w14:paraId="6C8B78E0" w14:textId="5E0F04E2" w:rsidR="00F93FDD" w:rsidRPr="00F93FDD" w:rsidRDefault="00F93FDD" w:rsidP="00F93FDD">
                      <w:pPr>
                        <w:spacing w:after="0"/>
                        <w:jc w:val="center"/>
                        <w:rPr>
                          <w:color w:val="1F3864" w:themeColor="accent1" w:themeShade="80"/>
                          <w:sz w:val="32"/>
                          <w:szCs w:val="32"/>
                        </w:rPr>
                      </w:pPr>
                      <w:r w:rsidRPr="00F93FDD">
                        <w:rPr>
                          <w:b/>
                          <w:bCs/>
                          <w:color w:val="1F3864" w:themeColor="accent1" w:themeShade="80"/>
                          <w:sz w:val="32"/>
                          <w:szCs w:val="32"/>
                        </w:rPr>
                        <w:t>Stratégie de décarbonation</w:t>
                      </w:r>
                    </w:p>
                  </w:txbxContent>
                </v:textbox>
              </v:rect>
            </w:pict>
          </mc:Fallback>
        </mc:AlternateContent>
      </w:r>
    </w:p>
    <w:p w14:paraId="225BF67A" w14:textId="3E7BB063" w:rsidR="003A77ED" w:rsidRPr="00474174" w:rsidRDefault="003A77ED" w:rsidP="000D5A84">
      <w:pPr>
        <w:jc w:val="both"/>
      </w:pPr>
    </w:p>
    <w:p w14:paraId="3D71DDA9" w14:textId="5A88A5D3" w:rsidR="003A77ED" w:rsidRPr="00474174" w:rsidRDefault="003A77ED" w:rsidP="003A77ED">
      <w:pPr>
        <w:jc w:val="both"/>
      </w:pPr>
      <w:r w:rsidRPr="00474174">
        <w:t xml:space="preserve">La </w:t>
      </w:r>
      <w:r w:rsidRPr="00474174">
        <w:rPr>
          <w:b/>
          <w:bCs/>
        </w:rPr>
        <w:t>décarbonation</w:t>
      </w:r>
      <w:r w:rsidRPr="00474174">
        <w:t xml:space="preserve"> désigne l’ensemble des processus visant à réduire ou éliminer les émissions de gaz à effet de serre, en particulier le dioxyde de carbone (CO₂), afin de lutter contre le</w:t>
      </w:r>
      <w:r w:rsidR="005026BE" w:rsidRPr="00474174">
        <w:t>s effets du</w:t>
      </w:r>
      <w:r w:rsidRPr="00474174">
        <w:t xml:space="preserve"> changement climatique. L’Union européenne s’est fixée des objectifs ambitieux pour atteindre la neutralité carbone d’ici 2050, dans le cadre du </w:t>
      </w:r>
      <w:r w:rsidRPr="00474174">
        <w:rPr>
          <w:b/>
          <w:bCs/>
        </w:rPr>
        <w:t>Pacte Vert pour l’Europe (</w:t>
      </w:r>
      <w:proofErr w:type="spellStart"/>
      <w:r w:rsidRPr="00474174">
        <w:rPr>
          <w:b/>
          <w:bCs/>
        </w:rPr>
        <w:t>European</w:t>
      </w:r>
      <w:proofErr w:type="spellEnd"/>
      <w:r w:rsidRPr="00474174">
        <w:rPr>
          <w:b/>
          <w:bCs/>
        </w:rPr>
        <w:t xml:space="preserve"> Green Deal).</w:t>
      </w:r>
      <w:r w:rsidRPr="00474174">
        <w:t xml:space="preserve"> Cette démarche est intégrée dans ses politiques énergétiques, industrielles et environnementales, couvrant notamment les secteurs industriels, énergétiques et des transports. </w:t>
      </w:r>
    </w:p>
    <w:p w14:paraId="3F040BEA" w14:textId="56DED3D8" w:rsidR="003A77ED" w:rsidRPr="00474174" w:rsidRDefault="003A77ED" w:rsidP="003A77ED">
      <w:pPr>
        <w:jc w:val="both"/>
      </w:pPr>
      <w:r w:rsidRPr="00474174">
        <w:t xml:space="preserve">La </w:t>
      </w:r>
      <w:r w:rsidRPr="00474174">
        <w:rPr>
          <w:b/>
          <w:bCs/>
        </w:rPr>
        <w:t>neutralité carbone</w:t>
      </w:r>
      <w:r w:rsidRPr="00474174">
        <w:t xml:space="preserve"> consiste à équilibrer les émissions de CO₂ en les absorbant ou en les réduisant à zéro, permettant ainsi de limiter leur impact sur le climat.</w:t>
      </w:r>
    </w:p>
    <w:p w14:paraId="384E92A7" w14:textId="33105925" w:rsidR="00C424FA" w:rsidRPr="00C13159" w:rsidRDefault="00C424FA" w:rsidP="00062936">
      <w:pPr>
        <w:shd w:val="clear" w:color="auto" w:fill="1F3864" w:themeFill="accent1" w:themeFillShade="80"/>
        <w:jc w:val="center"/>
        <w:rPr>
          <w:b/>
          <w:bCs/>
          <w:sz w:val="24"/>
          <w:szCs w:val="24"/>
        </w:rPr>
      </w:pPr>
      <w:r w:rsidRPr="00C13159">
        <w:rPr>
          <w:b/>
          <w:bCs/>
          <w:sz w:val="24"/>
          <w:szCs w:val="24"/>
        </w:rPr>
        <w:t>Objectifs</w:t>
      </w:r>
      <w:r w:rsidR="003A77ED" w:rsidRPr="00C13159">
        <w:rPr>
          <w:b/>
          <w:bCs/>
          <w:sz w:val="24"/>
          <w:szCs w:val="24"/>
        </w:rPr>
        <w:t xml:space="preserve"> </w:t>
      </w:r>
      <w:r w:rsidRPr="00C13159">
        <w:rPr>
          <w:b/>
          <w:bCs/>
          <w:sz w:val="24"/>
          <w:szCs w:val="24"/>
        </w:rPr>
        <w:t>et cadre légal</w:t>
      </w:r>
    </w:p>
    <w:p w14:paraId="20E3FD34" w14:textId="37CADA09" w:rsidR="0035131E" w:rsidRDefault="00E66E1E" w:rsidP="00474174">
      <w:pPr>
        <w:jc w:val="both"/>
      </w:pPr>
      <w:r w:rsidRPr="00474174">
        <w:t>L'ambition climatique de l'UE est inscrite dans la loi et est considérée comme le fer de lance de sa politique.</w:t>
      </w:r>
    </w:p>
    <w:tbl>
      <w:tblPr>
        <w:tblStyle w:val="Grilledutableau"/>
        <w:tblW w:w="9060" w:type="dxa"/>
        <w:tblLook w:val="04A0" w:firstRow="1" w:lastRow="0" w:firstColumn="1" w:lastColumn="0" w:noHBand="0" w:noVBand="1"/>
      </w:tblPr>
      <w:tblGrid>
        <w:gridCol w:w="988"/>
        <w:gridCol w:w="2693"/>
        <w:gridCol w:w="2126"/>
        <w:gridCol w:w="3253"/>
      </w:tblGrid>
      <w:tr w:rsidR="00474174" w14:paraId="41911E98" w14:textId="77777777" w:rsidTr="00474174">
        <w:tc>
          <w:tcPr>
            <w:tcW w:w="988" w:type="dxa"/>
            <w:vAlign w:val="center"/>
          </w:tcPr>
          <w:p w14:paraId="23B00DD8" w14:textId="7C18F4F0" w:rsidR="00474174" w:rsidRDefault="00474174" w:rsidP="00474174">
            <w:pPr>
              <w:jc w:val="center"/>
            </w:pPr>
            <w:r w:rsidRPr="00474174">
              <w:rPr>
                <w:b/>
                <w:bCs/>
              </w:rPr>
              <w:t>Horizon</w:t>
            </w:r>
          </w:p>
        </w:tc>
        <w:tc>
          <w:tcPr>
            <w:tcW w:w="2693" w:type="dxa"/>
            <w:vAlign w:val="center"/>
          </w:tcPr>
          <w:p w14:paraId="340FCF71" w14:textId="64799C36" w:rsidR="00474174" w:rsidRDefault="00474174" w:rsidP="00474174">
            <w:pPr>
              <w:jc w:val="center"/>
            </w:pPr>
            <w:r w:rsidRPr="00474174">
              <w:rPr>
                <w:b/>
                <w:bCs/>
              </w:rPr>
              <w:t>Objectif Climatique Principal</w:t>
            </w:r>
          </w:p>
        </w:tc>
        <w:tc>
          <w:tcPr>
            <w:tcW w:w="2126" w:type="dxa"/>
            <w:vAlign w:val="center"/>
          </w:tcPr>
          <w:p w14:paraId="5D95EFD3" w14:textId="286ABBBB" w:rsidR="00474174" w:rsidRDefault="00474174" w:rsidP="00474174">
            <w:pPr>
              <w:jc w:val="center"/>
            </w:pPr>
            <w:r w:rsidRPr="00474174">
              <w:rPr>
                <w:b/>
                <w:bCs/>
              </w:rPr>
              <w:t>Réduction Nette (par rapport à 1990)</w:t>
            </w:r>
          </w:p>
        </w:tc>
        <w:tc>
          <w:tcPr>
            <w:tcW w:w="3253" w:type="dxa"/>
            <w:vAlign w:val="center"/>
          </w:tcPr>
          <w:p w14:paraId="5C1E6052" w14:textId="21B0AEEE" w:rsidR="00474174" w:rsidRDefault="00474174" w:rsidP="00474174">
            <w:pPr>
              <w:jc w:val="center"/>
            </w:pPr>
            <w:r w:rsidRPr="00474174">
              <w:rPr>
                <w:b/>
                <w:bCs/>
              </w:rPr>
              <w:t>Référence Législative</w:t>
            </w:r>
          </w:p>
        </w:tc>
      </w:tr>
      <w:tr w:rsidR="00474174" w14:paraId="34A3D7EC" w14:textId="77777777" w:rsidTr="00474174">
        <w:tc>
          <w:tcPr>
            <w:tcW w:w="988" w:type="dxa"/>
            <w:shd w:val="clear" w:color="auto" w:fill="1F3864" w:themeFill="accent1" w:themeFillShade="80"/>
            <w:vAlign w:val="center"/>
          </w:tcPr>
          <w:p w14:paraId="10D2D669" w14:textId="1233AA91" w:rsidR="00474174" w:rsidRDefault="00474174" w:rsidP="00474174">
            <w:pPr>
              <w:jc w:val="both"/>
            </w:pPr>
            <w:r w:rsidRPr="00474174">
              <w:rPr>
                <w:b/>
                <w:bCs/>
              </w:rPr>
              <w:t>2030</w:t>
            </w:r>
          </w:p>
        </w:tc>
        <w:tc>
          <w:tcPr>
            <w:tcW w:w="2693" w:type="dxa"/>
            <w:vAlign w:val="center"/>
          </w:tcPr>
          <w:p w14:paraId="03783D6F" w14:textId="632348CD" w:rsidR="00474174" w:rsidRDefault="00474174" w:rsidP="00474174">
            <w:pPr>
              <w:jc w:val="center"/>
            </w:pPr>
            <w:r w:rsidRPr="00474174">
              <w:t>Objectif intermédiaire</w:t>
            </w:r>
          </w:p>
        </w:tc>
        <w:tc>
          <w:tcPr>
            <w:tcW w:w="2126" w:type="dxa"/>
            <w:vAlign w:val="center"/>
          </w:tcPr>
          <w:p w14:paraId="36D98326" w14:textId="5BACCF4A" w:rsidR="00474174" w:rsidRDefault="00474174" w:rsidP="00474174">
            <w:pPr>
              <w:jc w:val="both"/>
            </w:pPr>
            <w:r w:rsidRPr="00474174">
              <w:rPr>
                <w:b/>
                <w:bCs/>
              </w:rPr>
              <w:t>-55%</w:t>
            </w:r>
          </w:p>
        </w:tc>
        <w:tc>
          <w:tcPr>
            <w:tcW w:w="3253" w:type="dxa"/>
            <w:shd w:val="clear" w:color="auto" w:fill="1F3864" w:themeFill="accent1" w:themeFillShade="80"/>
            <w:vAlign w:val="center"/>
          </w:tcPr>
          <w:p w14:paraId="518908A5" w14:textId="0F993C87" w:rsidR="00474174" w:rsidRPr="00474174" w:rsidRDefault="00474174" w:rsidP="00474174">
            <w:pPr>
              <w:rPr>
                <w:b/>
                <w:bCs/>
              </w:rPr>
            </w:pPr>
            <w:r w:rsidRPr="00474174">
              <w:rPr>
                <w:b/>
                <w:bCs/>
              </w:rPr>
              <w:t>Paquet "Ajustement à l'objectif 55" (Fit for 55)</w:t>
            </w:r>
          </w:p>
        </w:tc>
      </w:tr>
      <w:tr w:rsidR="00474174" w14:paraId="6E8FE1B2" w14:textId="77777777" w:rsidTr="00474174">
        <w:tc>
          <w:tcPr>
            <w:tcW w:w="988" w:type="dxa"/>
            <w:shd w:val="clear" w:color="auto" w:fill="8EAADB" w:themeFill="accent1" w:themeFillTint="99"/>
            <w:vAlign w:val="center"/>
          </w:tcPr>
          <w:p w14:paraId="31BE095E" w14:textId="04B3B713" w:rsidR="00474174" w:rsidRDefault="00474174" w:rsidP="00474174">
            <w:pPr>
              <w:jc w:val="both"/>
            </w:pPr>
            <w:r w:rsidRPr="00474174">
              <w:rPr>
                <w:b/>
                <w:bCs/>
              </w:rPr>
              <w:t>2040</w:t>
            </w:r>
          </w:p>
        </w:tc>
        <w:tc>
          <w:tcPr>
            <w:tcW w:w="2693" w:type="dxa"/>
            <w:vAlign w:val="center"/>
          </w:tcPr>
          <w:p w14:paraId="627A1A76" w14:textId="7D8317EF" w:rsidR="00474174" w:rsidRDefault="00474174" w:rsidP="00474174">
            <w:pPr>
              <w:jc w:val="center"/>
            </w:pPr>
            <w:r w:rsidRPr="00474174">
              <w:t>Objectif de transition</w:t>
            </w:r>
          </w:p>
        </w:tc>
        <w:tc>
          <w:tcPr>
            <w:tcW w:w="2126" w:type="dxa"/>
            <w:vAlign w:val="center"/>
          </w:tcPr>
          <w:p w14:paraId="01560D5E" w14:textId="293A2955" w:rsidR="00474174" w:rsidRDefault="00474174" w:rsidP="00474174">
            <w:pPr>
              <w:jc w:val="both"/>
            </w:pPr>
            <w:r w:rsidRPr="00474174">
              <w:rPr>
                <w:b/>
                <w:bCs/>
              </w:rPr>
              <w:t>-90%</w:t>
            </w:r>
            <w:r w:rsidRPr="00474174">
              <w:t xml:space="preserve"> (proposition)</w:t>
            </w:r>
          </w:p>
        </w:tc>
        <w:tc>
          <w:tcPr>
            <w:tcW w:w="3253" w:type="dxa"/>
            <w:shd w:val="clear" w:color="auto" w:fill="8EAADB" w:themeFill="accent1" w:themeFillTint="99"/>
            <w:vAlign w:val="center"/>
          </w:tcPr>
          <w:p w14:paraId="5D4B8339" w14:textId="37505EF2" w:rsidR="00474174" w:rsidRDefault="00474174" w:rsidP="00474174">
            <w:pPr>
              <w:jc w:val="both"/>
            </w:pPr>
            <w:r w:rsidRPr="00474174">
              <w:rPr>
                <w:b/>
                <w:bCs/>
              </w:rPr>
              <w:t>Communication de la Commission (fév. 2024)</w:t>
            </w:r>
          </w:p>
        </w:tc>
      </w:tr>
      <w:tr w:rsidR="00474174" w14:paraId="007E11A1" w14:textId="77777777" w:rsidTr="00474174">
        <w:tc>
          <w:tcPr>
            <w:tcW w:w="988" w:type="dxa"/>
            <w:shd w:val="clear" w:color="auto" w:fill="FFC000"/>
            <w:vAlign w:val="center"/>
          </w:tcPr>
          <w:p w14:paraId="5D219716" w14:textId="2157452E" w:rsidR="00474174" w:rsidRDefault="00474174" w:rsidP="00474174">
            <w:pPr>
              <w:jc w:val="both"/>
            </w:pPr>
            <w:r w:rsidRPr="00474174">
              <w:rPr>
                <w:b/>
                <w:bCs/>
              </w:rPr>
              <w:t>2050</w:t>
            </w:r>
          </w:p>
        </w:tc>
        <w:tc>
          <w:tcPr>
            <w:tcW w:w="2693" w:type="dxa"/>
            <w:vAlign w:val="center"/>
          </w:tcPr>
          <w:p w14:paraId="6CAE168F" w14:textId="2C05B254" w:rsidR="00474174" w:rsidRDefault="00474174" w:rsidP="00474174">
            <w:pPr>
              <w:jc w:val="center"/>
            </w:pPr>
            <w:r w:rsidRPr="00474174">
              <w:rPr>
                <w:b/>
                <w:bCs/>
              </w:rPr>
              <w:t>Neutralité Carbone</w:t>
            </w:r>
          </w:p>
        </w:tc>
        <w:tc>
          <w:tcPr>
            <w:tcW w:w="2126" w:type="dxa"/>
            <w:vAlign w:val="center"/>
          </w:tcPr>
          <w:p w14:paraId="6DA4578B" w14:textId="71971854" w:rsidR="00474174" w:rsidRDefault="00474174" w:rsidP="00474174">
            <w:pPr>
              <w:jc w:val="both"/>
            </w:pPr>
            <w:r w:rsidRPr="00474174">
              <w:rPr>
                <w:b/>
                <w:bCs/>
              </w:rPr>
              <w:t>0%</w:t>
            </w:r>
            <w:r w:rsidRPr="00474174">
              <w:t xml:space="preserve"> (émissions nettes nulles)</w:t>
            </w:r>
          </w:p>
        </w:tc>
        <w:tc>
          <w:tcPr>
            <w:tcW w:w="3253" w:type="dxa"/>
            <w:shd w:val="clear" w:color="auto" w:fill="FFC000"/>
            <w:vAlign w:val="center"/>
          </w:tcPr>
          <w:p w14:paraId="54BF6967" w14:textId="4C8D4A39" w:rsidR="00474174" w:rsidRDefault="00474174" w:rsidP="00474174">
            <w:pPr>
              <w:jc w:val="both"/>
            </w:pPr>
            <w:r w:rsidRPr="00474174">
              <w:rPr>
                <w:b/>
                <w:bCs/>
                <w:color w:val="000000" w:themeColor="text1"/>
              </w:rPr>
              <w:t>Loi européenne sur le climat (2021) Green Deal européen.</w:t>
            </w:r>
          </w:p>
        </w:tc>
      </w:tr>
    </w:tbl>
    <w:p w14:paraId="76C9E42B" w14:textId="5192DD10" w:rsidR="00062936" w:rsidRPr="00C13159" w:rsidRDefault="00062936" w:rsidP="00062936">
      <w:pPr>
        <w:pStyle w:val="Paragraphedeliste"/>
        <w:shd w:val="clear" w:color="auto" w:fill="002060"/>
        <w:tabs>
          <w:tab w:val="left" w:pos="284"/>
        </w:tabs>
        <w:spacing w:before="240"/>
        <w:ind w:left="0"/>
        <w:jc w:val="center"/>
        <w:rPr>
          <w:b/>
          <w:bCs/>
          <w:sz w:val="24"/>
          <w:szCs w:val="24"/>
        </w:rPr>
      </w:pPr>
      <w:r w:rsidRPr="00C13159">
        <w:rPr>
          <w:b/>
          <w:bCs/>
          <w:sz w:val="24"/>
          <w:szCs w:val="24"/>
        </w:rPr>
        <w:t>Mesures et stratégies</w:t>
      </w:r>
    </w:p>
    <w:p w14:paraId="7CFC2253" w14:textId="5E00F129" w:rsidR="00062936" w:rsidRPr="00C13159" w:rsidRDefault="00062936" w:rsidP="00062936">
      <w:pPr>
        <w:pStyle w:val="Paragraphedeliste"/>
        <w:shd w:val="clear" w:color="auto" w:fill="D9E2F3" w:themeFill="accent1" w:themeFillTint="33"/>
        <w:tabs>
          <w:tab w:val="left" w:pos="284"/>
        </w:tabs>
        <w:spacing w:before="240"/>
        <w:ind w:left="0"/>
        <w:jc w:val="center"/>
        <w:rPr>
          <w:b/>
          <w:bCs/>
          <w:sz w:val="24"/>
          <w:szCs w:val="24"/>
        </w:rPr>
      </w:pPr>
      <w:r w:rsidRPr="00C13159">
        <w:rPr>
          <w:b/>
          <w:bCs/>
          <w:sz w:val="24"/>
          <w:szCs w:val="24"/>
        </w:rPr>
        <w:t>Développement de marchés du carbone</w:t>
      </w:r>
    </w:p>
    <w:p w14:paraId="1CCC099B" w14:textId="59FB5236" w:rsidR="00E66E1E" w:rsidRPr="00474174" w:rsidRDefault="00E66E1E" w:rsidP="00062936">
      <w:r w:rsidRPr="00474174">
        <w:t>La décarbonation est mise en œuvre principalement par l'établissement d'un prix du carbone et des mesures aux frontières.</w:t>
      </w:r>
    </w:p>
    <w:tbl>
      <w:tblPr>
        <w:tblStyle w:val="Grilledutableau"/>
        <w:tblW w:w="0" w:type="auto"/>
        <w:tblLook w:val="04A0" w:firstRow="1" w:lastRow="0" w:firstColumn="1" w:lastColumn="0" w:noHBand="0" w:noVBand="1"/>
      </w:tblPr>
      <w:tblGrid>
        <w:gridCol w:w="5524"/>
        <w:gridCol w:w="3538"/>
      </w:tblGrid>
      <w:tr w:rsidR="008E13B7" w:rsidRPr="001C5288" w14:paraId="66AD15A4" w14:textId="77777777" w:rsidTr="00474174">
        <w:tc>
          <w:tcPr>
            <w:tcW w:w="5524" w:type="dxa"/>
            <w:shd w:val="clear" w:color="auto" w:fill="8EAADB" w:themeFill="accent1" w:themeFillTint="99"/>
          </w:tcPr>
          <w:p w14:paraId="008DA32B" w14:textId="1A06E318" w:rsidR="008E13B7" w:rsidRPr="00474174" w:rsidRDefault="008E13B7" w:rsidP="008E13B7">
            <w:pPr>
              <w:shd w:val="clear" w:color="auto" w:fill="8EAADB" w:themeFill="accent1" w:themeFillTint="99"/>
              <w:jc w:val="center"/>
              <w:rPr>
                <w:b/>
                <w:bCs/>
              </w:rPr>
            </w:pPr>
            <w:r w:rsidRPr="00474174">
              <w:rPr>
                <w:b/>
                <w:bCs/>
              </w:rPr>
              <w:t>A. Système d'Échange de Quotas d'Émission (SEQE-UE / EU ETS)</w:t>
            </w:r>
          </w:p>
        </w:tc>
        <w:tc>
          <w:tcPr>
            <w:tcW w:w="3538" w:type="dxa"/>
            <w:shd w:val="clear" w:color="auto" w:fill="FFC000"/>
          </w:tcPr>
          <w:p w14:paraId="54B96038" w14:textId="394B443E" w:rsidR="008E13B7" w:rsidRPr="00474174" w:rsidRDefault="008E13B7" w:rsidP="008E13B7">
            <w:pPr>
              <w:jc w:val="center"/>
              <w:rPr>
                <w:b/>
                <w:bCs/>
              </w:rPr>
            </w:pPr>
            <w:r w:rsidRPr="00474174">
              <w:rPr>
                <w:b/>
                <w:bCs/>
              </w:rPr>
              <w:t>B. Mécanisme d'Ajustement Carbone aux Frontières (MACF / CBAM)</w:t>
            </w:r>
          </w:p>
        </w:tc>
      </w:tr>
      <w:tr w:rsidR="008E13B7" w:rsidRPr="001C5288" w14:paraId="1BFA1CAD" w14:textId="77777777" w:rsidTr="00474174">
        <w:tc>
          <w:tcPr>
            <w:tcW w:w="5524" w:type="dxa"/>
          </w:tcPr>
          <w:p w14:paraId="29FDE819" w14:textId="77777777" w:rsidR="008E13B7" w:rsidRPr="00474174" w:rsidRDefault="008E13B7" w:rsidP="008E13B7">
            <w:pPr>
              <w:numPr>
                <w:ilvl w:val="0"/>
                <w:numId w:val="1"/>
              </w:numPr>
              <w:tabs>
                <w:tab w:val="clear" w:pos="720"/>
                <w:tab w:val="num" w:pos="426"/>
              </w:tabs>
              <w:ind w:left="284" w:hanging="142"/>
              <w:jc w:val="both"/>
            </w:pPr>
            <w:r w:rsidRPr="00474174">
              <w:rPr>
                <w:b/>
                <w:bCs/>
              </w:rPr>
              <w:t>Mécanisme :</w:t>
            </w:r>
            <w:r w:rsidRPr="00474174">
              <w:t xml:space="preserve"> Instrument de marché de type "Plafond et Échange" (</w:t>
            </w:r>
            <w:r w:rsidRPr="00474174">
              <w:rPr>
                <w:i/>
                <w:iCs/>
              </w:rPr>
              <w:t>Cap-and-Trade</w:t>
            </w:r>
            <w:r w:rsidRPr="00474174">
              <w:t>). Le plafond d'émissions est réduit annuellement, augmentant le coût d'émission.</w:t>
            </w:r>
          </w:p>
          <w:p w14:paraId="28ADDC59" w14:textId="77777777" w:rsidR="008E13B7" w:rsidRPr="00474174" w:rsidRDefault="008E13B7" w:rsidP="008E13B7">
            <w:pPr>
              <w:numPr>
                <w:ilvl w:val="0"/>
                <w:numId w:val="1"/>
              </w:numPr>
              <w:tabs>
                <w:tab w:val="clear" w:pos="720"/>
                <w:tab w:val="num" w:pos="426"/>
              </w:tabs>
              <w:ind w:left="284" w:hanging="142"/>
              <w:jc w:val="both"/>
            </w:pPr>
            <w:r w:rsidRPr="00474174">
              <w:rPr>
                <w:b/>
                <w:bCs/>
              </w:rPr>
              <w:t>Secteurs Historiques :</w:t>
            </w:r>
            <w:r w:rsidRPr="00474174">
              <w:t xml:space="preserve"> Production d'électricité et de chaleur, industries lourdes (acier, ciment, etc.).</w:t>
            </w:r>
          </w:p>
          <w:p w14:paraId="19241CF5" w14:textId="6328A0CE" w:rsidR="008E13B7" w:rsidRPr="00474174" w:rsidRDefault="008E13B7" w:rsidP="008E13B7">
            <w:pPr>
              <w:numPr>
                <w:ilvl w:val="0"/>
                <w:numId w:val="1"/>
              </w:numPr>
              <w:tabs>
                <w:tab w:val="clear" w:pos="720"/>
                <w:tab w:val="num" w:pos="426"/>
              </w:tabs>
              <w:ind w:left="284" w:hanging="142"/>
              <w:jc w:val="both"/>
            </w:pPr>
            <w:r w:rsidRPr="00474174">
              <w:rPr>
                <w:b/>
                <w:bCs/>
              </w:rPr>
              <w:t>SEQE 2 (Nouveau) :</w:t>
            </w:r>
            <w:r w:rsidRPr="00474174">
              <w:t xml:space="preserve"> Mise en place progressive d'un système parallèle pour le </w:t>
            </w:r>
            <w:r w:rsidRPr="00474174">
              <w:rPr>
                <w:b/>
                <w:bCs/>
              </w:rPr>
              <w:t>transport routier</w:t>
            </w:r>
            <w:r w:rsidRPr="00474174">
              <w:t xml:space="preserve"> et les </w:t>
            </w:r>
            <w:r w:rsidRPr="00474174">
              <w:rPr>
                <w:b/>
                <w:bCs/>
              </w:rPr>
              <w:t>bâtiments</w:t>
            </w:r>
            <w:r w:rsidRPr="00474174">
              <w:t xml:space="preserve"> à partir de 2027 (sous conditions).</w:t>
            </w:r>
          </w:p>
        </w:tc>
        <w:tc>
          <w:tcPr>
            <w:tcW w:w="3538" w:type="dxa"/>
          </w:tcPr>
          <w:p w14:paraId="48026EAF" w14:textId="77777777" w:rsidR="008E13B7" w:rsidRPr="00474174" w:rsidRDefault="008E13B7" w:rsidP="008E13B7">
            <w:pPr>
              <w:numPr>
                <w:ilvl w:val="0"/>
                <w:numId w:val="1"/>
              </w:numPr>
              <w:tabs>
                <w:tab w:val="clear" w:pos="720"/>
              </w:tabs>
              <w:ind w:left="171" w:hanging="171"/>
              <w:jc w:val="both"/>
            </w:pPr>
            <w:r w:rsidRPr="00474174">
              <w:rPr>
                <w:b/>
                <w:bCs/>
              </w:rPr>
              <w:t>But :</w:t>
            </w:r>
            <w:r w:rsidRPr="00474174">
              <w:t xml:space="preserve"> Éviter la </w:t>
            </w:r>
            <w:r w:rsidRPr="00474174">
              <w:rPr>
                <w:b/>
                <w:bCs/>
              </w:rPr>
              <w:t>"fuite de carbone"</w:t>
            </w:r>
            <w:r w:rsidRPr="00474174">
              <w:t xml:space="preserve"> en s'assurant que le prix du carbone appliqué aux produits européens s'applique aussi aux produits importés.</w:t>
            </w:r>
          </w:p>
          <w:p w14:paraId="19779775" w14:textId="35DCC31D" w:rsidR="008E13B7" w:rsidRPr="00474174" w:rsidRDefault="008E13B7" w:rsidP="008E13B7">
            <w:pPr>
              <w:numPr>
                <w:ilvl w:val="0"/>
                <w:numId w:val="1"/>
              </w:numPr>
              <w:tabs>
                <w:tab w:val="clear" w:pos="720"/>
              </w:tabs>
              <w:ind w:left="171" w:hanging="171"/>
              <w:jc w:val="both"/>
            </w:pPr>
            <w:r w:rsidRPr="00474174">
              <w:rPr>
                <w:b/>
                <w:bCs/>
              </w:rPr>
              <w:t>Produits Ciblés :</w:t>
            </w:r>
            <w:r w:rsidRPr="00474174">
              <w:t xml:space="preserve"> Ciment, fer et acier, aluminium, engrais, électricité, et hydrogène.</w:t>
            </w:r>
          </w:p>
        </w:tc>
      </w:tr>
    </w:tbl>
    <w:p w14:paraId="215C7F8F" w14:textId="69720209" w:rsidR="00062936" w:rsidRPr="00062936" w:rsidRDefault="00062936" w:rsidP="00062936">
      <w:pPr>
        <w:shd w:val="clear" w:color="auto" w:fill="D9E2F3" w:themeFill="accent1" w:themeFillTint="33"/>
        <w:spacing w:before="240"/>
        <w:jc w:val="center"/>
        <w:rPr>
          <w:b/>
          <w:bCs/>
          <w:sz w:val="24"/>
          <w:szCs w:val="24"/>
        </w:rPr>
      </w:pPr>
      <w:r w:rsidRPr="00062936">
        <w:rPr>
          <w:b/>
          <w:bCs/>
          <w:sz w:val="24"/>
          <w:szCs w:val="24"/>
        </w:rPr>
        <w:t>Investissements massifs dans les énergies renouvelables</w:t>
      </w:r>
    </w:p>
    <w:p w14:paraId="55D3AD8F" w14:textId="3D2DCE9F" w:rsidR="00E66E1E" w:rsidRPr="00474174" w:rsidRDefault="00E66E1E" w:rsidP="00474174">
      <w:pPr>
        <w:jc w:val="center"/>
      </w:pPr>
      <w:r w:rsidRPr="00474174">
        <w:t>La transition énergétique est le pilier de la décarbonation.</w:t>
      </w:r>
    </w:p>
    <w:tbl>
      <w:tblPr>
        <w:tblStyle w:val="Grilledutableau"/>
        <w:tblW w:w="0" w:type="auto"/>
        <w:tblLook w:val="04A0" w:firstRow="1" w:lastRow="0" w:firstColumn="1" w:lastColumn="0" w:noHBand="0" w:noVBand="1"/>
      </w:tblPr>
      <w:tblGrid>
        <w:gridCol w:w="2405"/>
        <w:gridCol w:w="6657"/>
      </w:tblGrid>
      <w:tr w:rsidR="00062936" w14:paraId="4BBE1A3C" w14:textId="77777777" w:rsidTr="00062936">
        <w:tc>
          <w:tcPr>
            <w:tcW w:w="2405" w:type="dxa"/>
            <w:shd w:val="clear" w:color="auto" w:fill="D9E2F3" w:themeFill="accent1" w:themeFillTint="33"/>
            <w:vAlign w:val="center"/>
          </w:tcPr>
          <w:p w14:paraId="71F1A3B1" w14:textId="072D8EDC" w:rsidR="00062936" w:rsidRPr="00474174" w:rsidRDefault="00062936" w:rsidP="00062936">
            <w:pPr>
              <w:jc w:val="center"/>
            </w:pPr>
            <w:r w:rsidRPr="00474174">
              <w:rPr>
                <w:b/>
                <w:bCs/>
              </w:rPr>
              <w:t>Énergies Renouvelables (ENR)</w:t>
            </w:r>
          </w:p>
        </w:tc>
        <w:tc>
          <w:tcPr>
            <w:tcW w:w="6657" w:type="dxa"/>
          </w:tcPr>
          <w:p w14:paraId="5E21A4DA" w14:textId="3F2B1DE6" w:rsidR="00062936" w:rsidRPr="00474174" w:rsidRDefault="00062936" w:rsidP="00062936">
            <w:pPr>
              <w:jc w:val="both"/>
            </w:pPr>
            <w:r w:rsidRPr="00474174">
              <w:t xml:space="preserve">L'objectif contraignant pour 2030 est d'atteindre une part d'au moins </w:t>
            </w:r>
            <w:r w:rsidRPr="00474174">
              <w:rPr>
                <w:b/>
                <w:bCs/>
              </w:rPr>
              <w:t>42,5 %</w:t>
            </w:r>
            <w:r w:rsidRPr="00474174">
              <w:t xml:space="preserve"> d'ENR dans la consommation finale brute d'énergie, avec un objectif indicatif de 45 %.</w:t>
            </w:r>
          </w:p>
        </w:tc>
      </w:tr>
      <w:tr w:rsidR="00062936" w14:paraId="17A2C406" w14:textId="77777777" w:rsidTr="00062936">
        <w:tc>
          <w:tcPr>
            <w:tcW w:w="2405" w:type="dxa"/>
            <w:shd w:val="clear" w:color="auto" w:fill="B4C6E7" w:themeFill="accent1" w:themeFillTint="66"/>
            <w:vAlign w:val="center"/>
          </w:tcPr>
          <w:p w14:paraId="57013DDF" w14:textId="79CE3482" w:rsidR="00062936" w:rsidRPr="00474174" w:rsidRDefault="00062936" w:rsidP="00062936">
            <w:pPr>
              <w:jc w:val="center"/>
            </w:pPr>
            <w:r w:rsidRPr="00474174">
              <w:rPr>
                <w:b/>
                <w:bCs/>
              </w:rPr>
              <w:t>Efficacité Énergétique</w:t>
            </w:r>
          </w:p>
        </w:tc>
        <w:tc>
          <w:tcPr>
            <w:tcW w:w="6657" w:type="dxa"/>
          </w:tcPr>
          <w:p w14:paraId="427BD305" w14:textId="77777777" w:rsidR="00062936" w:rsidRPr="00474174" w:rsidRDefault="00062936" w:rsidP="00062936">
            <w:pPr>
              <w:jc w:val="both"/>
            </w:pPr>
            <w:r w:rsidRPr="00474174">
              <w:t xml:space="preserve">L'objectif est de réduire la consommation d'énergie finale de </w:t>
            </w:r>
            <w:r w:rsidRPr="00474174">
              <w:rPr>
                <w:b/>
                <w:bCs/>
              </w:rPr>
              <w:t>11,7 %</w:t>
            </w:r>
            <w:r w:rsidRPr="00474174">
              <w:t xml:space="preserve"> d'ici 2030 par rapport aux projections</w:t>
            </w:r>
          </w:p>
          <w:p w14:paraId="65AF7830" w14:textId="74C36604" w:rsidR="00062936" w:rsidRPr="00474174" w:rsidRDefault="00062936" w:rsidP="00062936">
            <w:pPr>
              <w:tabs>
                <w:tab w:val="num" w:pos="1440"/>
              </w:tabs>
              <w:jc w:val="both"/>
            </w:pPr>
            <w:r w:rsidRPr="00474174">
              <w:rPr>
                <w:i/>
                <w:iCs/>
              </w:rPr>
              <w:t>Application :</w:t>
            </w:r>
            <w:r w:rsidRPr="00474174">
              <w:t xml:space="preserve"> </w:t>
            </w:r>
            <w:r w:rsidRPr="00474174">
              <w:rPr>
                <w:b/>
                <w:bCs/>
              </w:rPr>
              <w:t>Rénovation énergétique massive</w:t>
            </w:r>
            <w:r w:rsidRPr="00474174">
              <w:t xml:space="preserve"> des bâtiments (Directive sur la performance énergétique des bâtiments - EPBD).</w:t>
            </w:r>
          </w:p>
        </w:tc>
      </w:tr>
      <w:tr w:rsidR="00062936" w14:paraId="64B3CC98" w14:textId="77777777" w:rsidTr="00062936">
        <w:tc>
          <w:tcPr>
            <w:tcW w:w="2405" w:type="dxa"/>
            <w:shd w:val="clear" w:color="auto" w:fill="8EAADB" w:themeFill="accent1" w:themeFillTint="99"/>
            <w:vAlign w:val="center"/>
          </w:tcPr>
          <w:p w14:paraId="5A46D3F3" w14:textId="0ECE9ED7" w:rsidR="00062936" w:rsidRPr="00474174" w:rsidRDefault="00062936" w:rsidP="00062936">
            <w:pPr>
              <w:jc w:val="center"/>
            </w:pPr>
            <w:r w:rsidRPr="00474174">
              <w:rPr>
                <w:b/>
                <w:bCs/>
              </w:rPr>
              <w:lastRenderedPageBreak/>
              <w:t>Développement de l'Hydrogène</w:t>
            </w:r>
          </w:p>
        </w:tc>
        <w:tc>
          <w:tcPr>
            <w:tcW w:w="6657" w:type="dxa"/>
          </w:tcPr>
          <w:p w14:paraId="6A3DECD6" w14:textId="0DC8C858" w:rsidR="00062936" w:rsidRPr="00474174" w:rsidRDefault="00062936" w:rsidP="00062936">
            <w:pPr>
              <w:jc w:val="both"/>
            </w:pPr>
            <w:r w:rsidRPr="00474174">
              <w:t>L'UE promeut l'</w:t>
            </w:r>
            <w:r w:rsidRPr="00474174">
              <w:rPr>
                <w:b/>
                <w:bCs/>
              </w:rPr>
              <w:t>hydrogène vert</w:t>
            </w:r>
            <w:r w:rsidRPr="00474174">
              <w:t xml:space="preserve"> (produit par électrolyse avec de l'électricité ENR) comme vecteur énergétique clé pour décarboner l'industrie lourde et les transports.</w:t>
            </w:r>
          </w:p>
        </w:tc>
      </w:tr>
    </w:tbl>
    <w:p w14:paraId="0218B369" w14:textId="142C5969" w:rsidR="00E66E1E" w:rsidRPr="00E66E1E" w:rsidRDefault="00E66E1E" w:rsidP="00062936">
      <w:pPr>
        <w:shd w:val="clear" w:color="auto" w:fill="002060"/>
        <w:spacing w:before="240"/>
        <w:jc w:val="center"/>
        <w:rPr>
          <w:b/>
          <w:bCs/>
          <w:sz w:val="24"/>
          <w:szCs w:val="24"/>
        </w:rPr>
      </w:pPr>
      <w:r w:rsidRPr="00E66E1E">
        <w:rPr>
          <w:b/>
          <w:bCs/>
          <w:sz w:val="24"/>
          <w:szCs w:val="24"/>
        </w:rPr>
        <w:t>Levier Sectoriel : Transports et Industrie</w:t>
      </w:r>
    </w:p>
    <w:p w14:paraId="08A76A30" w14:textId="77777777" w:rsidR="00E66E1E" w:rsidRDefault="00E66E1E" w:rsidP="00C424FA">
      <w:pPr>
        <w:jc w:val="both"/>
      </w:pPr>
      <w:r w:rsidRPr="00474174">
        <w:t>La décarbonation des transports et de l'industrie nécessite des investissements technologiques majeurs.</w:t>
      </w:r>
    </w:p>
    <w:tbl>
      <w:tblPr>
        <w:tblStyle w:val="Grilledutableau"/>
        <w:tblW w:w="0" w:type="auto"/>
        <w:tblLook w:val="04A0" w:firstRow="1" w:lastRow="0" w:firstColumn="1" w:lastColumn="0" w:noHBand="0" w:noVBand="1"/>
      </w:tblPr>
      <w:tblGrid>
        <w:gridCol w:w="1271"/>
        <w:gridCol w:w="4253"/>
        <w:gridCol w:w="3538"/>
      </w:tblGrid>
      <w:tr w:rsidR="00474174" w14:paraId="29CCB2DB" w14:textId="77777777" w:rsidTr="00474174">
        <w:tc>
          <w:tcPr>
            <w:tcW w:w="1271" w:type="dxa"/>
            <w:shd w:val="clear" w:color="auto" w:fill="D0CECE" w:themeFill="background2" w:themeFillShade="E6"/>
            <w:vAlign w:val="center"/>
          </w:tcPr>
          <w:p w14:paraId="68BBB8D5" w14:textId="501BBCB1" w:rsidR="00474174" w:rsidRDefault="00474174" w:rsidP="00474174">
            <w:pPr>
              <w:jc w:val="center"/>
            </w:pPr>
            <w:r w:rsidRPr="00474174">
              <w:rPr>
                <w:b/>
                <w:bCs/>
              </w:rPr>
              <w:t>Secteur</w:t>
            </w:r>
          </w:p>
        </w:tc>
        <w:tc>
          <w:tcPr>
            <w:tcW w:w="4253" w:type="dxa"/>
            <w:shd w:val="clear" w:color="auto" w:fill="D0CECE" w:themeFill="background2" w:themeFillShade="E6"/>
            <w:vAlign w:val="center"/>
          </w:tcPr>
          <w:p w14:paraId="04AEB533" w14:textId="5322A8D8" w:rsidR="00474174" w:rsidRDefault="00474174" w:rsidP="00474174">
            <w:pPr>
              <w:jc w:val="center"/>
            </w:pPr>
            <w:r w:rsidRPr="00474174">
              <w:rPr>
                <w:b/>
                <w:bCs/>
              </w:rPr>
              <w:t>Principales Actions Législatives</w:t>
            </w:r>
          </w:p>
        </w:tc>
        <w:tc>
          <w:tcPr>
            <w:tcW w:w="3538" w:type="dxa"/>
            <w:shd w:val="clear" w:color="auto" w:fill="D0CECE" w:themeFill="background2" w:themeFillShade="E6"/>
            <w:vAlign w:val="center"/>
          </w:tcPr>
          <w:p w14:paraId="3D6A15A2" w14:textId="73B43870" w:rsidR="00474174" w:rsidRDefault="00474174" w:rsidP="00474174">
            <w:pPr>
              <w:jc w:val="center"/>
            </w:pPr>
            <w:r w:rsidRPr="00474174">
              <w:rPr>
                <w:b/>
                <w:bCs/>
              </w:rPr>
              <w:t>Technologies Clés</w:t>
            </w:r>
          </w:p>
        </w:tc>
      </w:tr>
      <w:tr w:rsidR="00474174" w14:paraId="28A61425" w14:textId="77777777" w:rsidTr="00474174">
        <w:tc>
          <w:tcPr>
            <w:tcW w:w="1271" w:type="dxa"/>
            <w:shd w:val="clear" w:color="auto" w:fill="FBE4D5" w:themeFill="accent2" w:themeFillTint="33"/>
            <w:vAlign w:val="center"/>
          </w:tcPr>
          <w:p w14:paraId="2CF64E95" w14:textId="08A3DFF7" w:rsidR="00474174" w:rsidRDefault="00474174" w:rsidP="00474174">
            <w:pPr>
              <w:jc w:val="both"/>
            </w:pPr>
            <w:r w:rsidRPr="00474174">
              <w:rPr>
                <w:b/>
                <w:bCs/>
              </w:rPr>
              <w:t>Transports</w:t>
            </w:r>
          </w:p>
        </w:tc>
        <w:tc>
          <w:tcPr>
            <w:tcW w:w="4253" w:type="dxa"/>
            <w:shd w:val="clear" w:color="auto" w:fill="FBE4D5" w:themeFill="accent2" w:themeFillTint="33"/>
            <w:vAlign w:val="center"/>
          </w:tcPr>
          <w:p w14:paraId="11D3CE97" w14:textId="77777777" w:rsidR="00474174" w:rsidRPr="00474174" w:rsidRDefault="00474174" w:rsidP="00474174">
            <w:pPr>
              <w:jc w:val="both"/>
            </w:pPr>
            <w:r w:rsidRPr="00474174">
              <w:t>Interdiction de la vente de nouvelles voitures et camionnettes émettant du CO</w:t>
            </w:r>
            <w:r w:rsidRPr="00474174">
              <w:rPr>
                <w:vertAlign w:val="subscript"/>
              </w:rPr>
              <w:t>2</w:t>
            </w:r>
            <w:r w:rsidRPr="00474174">
              <w:t xml:space="preserve"> à partir de </w:t>
            </w:r>
            <w:r w:rsidRPr="00474174">
              <w:rPr>
                <w:b/>
                <w:bCs/>
              </w:rPr>
              <w:t>2035</w:t>
            </w:r>
            <w:r w:rsidRPr="00474174">
              <w:t>. En décembre 2025 l’objectif cible de réduction de CO₂ à 100 % pour les voitures et camionnettes neuves à partir de 2035 — telle qu’envisagée dans Fit for 55 — est remplacée par un objectif de -90 % pour les émissions moyennes de la flotte de chaque constructeur</w:t>
            </w:r>
          </w:p>
          <w:p w14:paraId="00316780" w14:textId="05A931C1" w:rsidR="00474174" w:rsidRDefault="00474174" w:rsidP="00474174">
            <w:pPr>
              <w:jc w:val="both"/>
            </w:pPr>
            <w:r w:rsidRPr="00474174">
              <w:t xml:space="preserve">Mandat pour les </w:t>
            </w:r>
            <w:r w:rsidRPr="00474174">
              <w:rPr>
                <w:b/>
                <w:bCs/>
              </w:rPr>
              <w:t>carburants durables</w:t>
            </w:r>
            <w:r w:rsidRPr="00474174">
              <w:t xml:space="preserve"> (aviation et maritime).</w:t>
            </w:r>
          </w:p>
        </w:tc>
        <w:tc>
          <w:tcPr>
            <w:tcW w:w="3538" w:type="dxa"/>
            <w:shd w:val="clear" w:color="auto" w:fill="FBE4D5" w:themeFill="accent2" w:themeFillTint="33"/>
            <w:vAlign w:val="center"/>
          </w:tcPr>
          <w:p w14:paraId="025C43EA" w14:textId="46E663BF" w:rsidR="00474174" w:rsidRDefault="00474174" w:rsidP="00474174">
            <w:pPr>
              <w:jc w:val="both"/>
            </w:pPr>
            <w:r w:rsidRPr="00474174">
              <w:t>Électrification des véhicules, biocarburants avancés, e-carburants.</w:t>
            </w:r>
          </w:p>
        </w:tc>
      </w:tr>
      <w:tr w:rsidR="00474174" w14:paraId="61179E7A" w14:textId="77777777" w:rsidTr="00474174">
        <w:tc>
          <w:tcPr>
            <w:tcW w:w="1271" w:type="dxa"/>
            <w:shd w:val="clear" w:color="auto" w:fill="D9E2F3" w:themeFill="accent1" w:themeFillTint="33"/>
            <w:vAlign w:val="center"/>
          </w:tcPr>
          <w:p w14:paraId="065F90C5" w14:textId="15F3011E" w:rsidR="00474174" w:rsidRDefault="00474174" w:rsidP="00474174">
            <w:pPr>
              <w:jc w:val="both"/>
            </w:pPr>
            <w:r w:rsidRPr="00474174">
              <w:rPr>
                <w:b/>
                <w:bCs/>
              </w:rPr>
              <w:t>Industrie</w:t>
            </w:r>
          </w:p>
        </w:tc>
        <w:tc>
          <w:tcPr>
            <w:tcW w:w="4253" w:type="dxa"/>
            <w:shd w:val="clear" w:color="auto" w:fill="D9E2F3" w:themeFill="accent1" w:themeFillTint="33"/>
            <w:vAlign w:val="center"/>
          </w:tcPr>
          <w:p w14:paraId="267EAC4D" w14:textId="77777777" w:rsidR="00474174" w:rsidRPr="00474174" w:rsidRDefault="00474174" w:rsidP="00474174">
            <w:pPr>
              <w:rPr>
                <w:b/>
                <w:bCs/>
              </w:rPr>
            </w:pPr>
            <w:r w:rsidRPr="00474174">
              <w:t xml:space="preserve">Application du </w:t>
            </w:r>
            <w:r w:rsidRPr="00474174">
              <w:rPr>
                <w:b/>
                <w:bCs/>
              </w:rPr>
              <w:t>SEQE</w:t>
            </w:r>
            <w:r w:rsidRPr="00474174">
              <w:t xml:space="preserve"> et du </w:t>
            </w:r>
            <w:r w:rsidRPr="00474174">
              <w:rPr>
                <w:b/>
                <w:bCs/>
              </w:rPr>
              <w:t>MACF</w:t>
            </w:r>
          </w:p>
          <w:p w14:paraId="1B419825" w14:textId="64A4CCA1" w:rsidR="00474174" w:rsidRDefault="00474174" w:rsidP="00474174">
            <w:pPr>
              <w:jc w:val="both"/>
            </w:pPr>
            <w:r w:rsidRPr="00474174">
              <w:t>Normes de performance énergétique et de circularité.</w:t>
            </w:r>
          </w:p>
        </w:tc>
        <w:tc>
          <w:tcPr>
            <w:tcW w:w="3538" w:type="dxa"/>
            <w:shd w:val="clear" w:color="auto" w:fill="D9E2F3" w:themeFill="accent1" w:themeFillTint="33"/>
            <w:vAlign w:val="center"/>
          </w:tcPr>
          <w:p w14:paraId="3E76729C" w14:textId="214B2158" w:rsidR="00474174" w:rsidRDefault="00474174" w:rsidP="00474174">
            <w:pPr>
              <w:jc w:val="both"/>
            </w:pPr>
            <w:r w:rsidRPr="00474174">
              <w:t>Électrification des processus, Captage et Stockage du Carbone (</w:t>
            </w:r>
            <w:r w:rsidRPr="00474174">
              <w:rPr>
                <w:b/>
                <w:bCs/>
              </w:rPr>
              <w:t>CSC</w:t>
            </w:r>
            <w:r w:rsidRPr="00474174">
              <w:t>), utilisation de l'hydrogène vert.</w:t>
            </w:r>
          </w:p>
        </w:tc>
      </w:tr>
      <w:tr w:rsidR="00474174" w14:paraId="2DC4C18C" w14:textId="77777777" w:rsidTr="00474174">
        <w:tc>
          <w:tcPr>
            <w:tcW w:w="1271" w:type="dxa"/>
            <w:shd w:val="clear" w:color="auto" w:fill="FFF2CC" w:themeFill="accent4" w:themeFillTint="33"/>
            <w:vAlign w:val="center"/>
          </w:tcPr>
          <w:p w14:paraId="6227A1B5" w14:textId="5A4AF32D" w:rsidR="00474174" w:rsidRDefault="00474174" w:rsidP="00474174">
            <w:pPr>
              <w:jc w:val="both"/>
            </w:pPr>
            <w:r w:rsidRPr="00474174">
              <w:rPr>
                <w:b/>
                <w:bCs/>
              </w:rPr>
              <w:t>UTCATF (Usage des Terres)</w:t>
            </w:r>
          </w:p>
        </w:tc>
        <w:tc>
          <w:tcPr>
            <w:tcW w:w="4253" w:type="dxa"/>
            <w:shd w:val="clear" w:color="auto" w:fill="FFF2CC" w:themeFill="accent4" w:themeFillTint="33"/>
            <w:vAlign w:val="center"/>
          </w:tcPr>
          <w:p w14:paraId="25739278" w14:textId="085FE6C2" w:rsidR="00474174" w:rsidRDefault="00474174" w:rsidP="00474174">
            <w:pPr>
              <w:jc w:val="both"/>
            </w:pPr>
            <w:r w:rsidRPr="00474174">
              <w:t>Renforcement des objectifs d'</w:t>
            </w:r>
            <w:r w:rsidRPr="00474174">
              <w:rPr>
                <w:b/>
                <w:bCs/>
              </w:rPr>
              <w:t>absorption de carbone</w:t>
            </w:r>
            <w:r w:rsidRPr="00474174">
              <w:t xml:space="preserve"> par les forêts et les sols.</w:t>
            </w:r>
          </w:p>
        </w:tc>
        <w:tc>
          <w:tcPr>
            <w:tcW w:w="3538" w:type="dxa"/>
            <w:shd w:val="clear" w:color="auto" w:fill="FFF2CC" w:themeFill="accent4" w:themeFillTint="33"/>
            <w:vAlign w:val="center"/>
          </w:tcPr>
          <w:p w14:paraId="5DC6C6C8" w14:textId="6224590C" w:rsidR="00474174" w:rsidRDefault="00474174" w:rsidP="00474174">
            <w:pPr>
              <w:jc w:val="both"/>
            </w:pPr>
            <w:r w:rsidRPr="00474174">
              <w:t>Gestion durable des forêts, agroforesterie, séquestration du carbone dans les sols agricoles.</w:t>
            </w:r>
          </w:p>
        </w:tc>
      </w:tr>
    </w:tbl>
    <w:p w14:paraId="013D3570" w14:textId="61CF8FAC" w:rsidR="00474174" w:rsidRPr="00E66E1E" w:rsidRDefault="00E66E1E" w:rsidP="00474174">
      <w:pPr>
        <w:shd w:val="clear" w:color="auto" w:fill="002060"/>
        <w:spacing w:before="240"/>
        <w:jc w:val="center"/>
        <w:rPr>
          <w:b/>
          <w:bCs/>
          <w:sz w:val="24"/>
          <w:szCs w:val="24"/>
        </w:rPr>
      </w:pPr>
      <w:r w:rsidRPr="00E66E1E">
        <w:rPr>
          <w:b/>
          <w:bCs/>
          <w:sz w:val="24"/>
          <w:szCs w:val="24"/>
        </w:rPr>
        <w:t xml:space="preserve">Enjeux et Défis de la Transition </w:t>
      </w:r>
      <w:proofErr w:type="spellStart"/>
      <w:r w:rsidRPr="00E66E1E">
        <w:rPr>
          <w:b/>
          <w:bCs/>
          <w:sz w:val="24"/>
          <w:szCs w:val="24"/>
        </w:rPr>
        <w:t>Just</w:t>
      </w:r>
      <w:r w:rsidR="00474174">
        <w:rPr>
          <w:b/>
          <w:bCs/>
          <w:sz w:val="24"/>
          <w:szCs w:val="24"/>
        </w:rPr>
        <w:t>E</w:t>
      </w:r>
      <w:proofErr w:type="spellEnd"/>
    </w:p>
    <w:tbl>
      <w:tblPr>
        <w:tblStyle w:val="Grilledutableau"/>
        <w:tblW w:w="0" w:type="auto"/>
        <w:tblLook w:val="04A0" w:firstRow="1" w:lastRow="0" w:firstColumn="1" w:lastColumn="0" w:noHBand="0" w:noVBand="1"/>
      </w:tblPr>
      <w:tblGrid>
        <w:gridCol w:w="1660"/>
        <w:gridCol w:w="7402"/>
      </w:tblGrid>
      <w:tr w:rsidR="008E7F67" w14:paraId="1EE692E6" w14:textId="77777777" w:rsidTr="00474174">
        <w:tc>
          <w:tcPr>
            <w:tcW w:w="1529" w:type="dxa"/>
            <w:shd w:val="clear" w:color="auto" w:fill="FFD966" w:themeFill="accent4" w:themeFillTint="99"/>
            <w:vAlign w:val="center"/>
          </w:tcPr>
          <w:p w14:paraId="0BCAF598" w14:textId="570C3848" w:rsidR="008E7F67" w:rsidRPr="00474174" w:rsidRDefault="00622AC2" w:rsidP="00F93FDD">
            <w:pPr>
              <w:jc w:val="center"/>
              <w:rPr>
                <w:b/>
                <w:bCs/>
              </w:rPr>
            </w:pPr>
            <w:r w:rsidRPr="00474174">
              <w:rPr>
                <w:b/>
                <w:bCs/>
              </w:rPr>
              <w:t>Défis</w:t>
            </w:r>
          </w:p>
        </w:tc>
        <w:tc>
          <w:tcPr>
            <w:tcW w:w="7533" w:type="dxa"/>
          </w:tcPr>
          <w:p w14:paraId="4E5DE4F1" w14:textId="77777777" w:rsidR="00622AC2" w:rsidRPr="00474174" w:rsidRDefault="00622AC2" w:rsidP="00622AC2">
            <w:r w:rsidRPr="00474174">
              <w:t>La transition vers la neutralité carbone pose des défis économiques et sociaux importants.</w:t>
            </w:r>
          </w:p>
          <w:p w14:paraId="0324BFA1" w14:textId="15920A0E" w:rsidR="00622AC2" w:rsidRPr="00474174" w:rsidRDefault="00622AC2" w:rsidP="00F93FDD">
            <w:pPr>
              <w:pStyle w:val="Paragraphedeliste"/>
              <w:numPr>
                <w:ilvl w:val="0"/>
                <w:numId w:val="8"/>
              </w:numPr>
              <w:tabs>
                <w:tab w:val="left" w:pos="216"/>
              </w:tabs>
              <w:ind w:left="74" w:hanging="142"/>
              <w:jc w:val="both"/>
            </w:pPr>
            <w:r w:rsidRPr="00474174">
              <w:rPr>
                <w:b/>
                <w:bCs/>
              </w:rPr>
              <w:t>Financement :</w:t>
            </w:r>
            <w:r w:rsidRPr="00474174">
              <w:t xml:space="preserve"> Nécessité de mobiliser des milliers de milliards d'euros d'investissements publics et privés.</w:t>
            </w:r>
          </w:p>
          <w:p w14:paraId="33D8414E" w14:textId="507E65AE" w:rsidR="00622AC2" w:rsidRPr="00474174" w:rsidRDefault="00622AC2" w:rsidP="00F93FDD">
            <w:pPr>
              <w:pStyle w:val="Paragraphedeliste"/>
              <w:numPr>
                <w:ilvl w:val="0"/>
                <w:numId w:val="8"/>
              </w:numPr>
              <w:tabs>
                <w:tab w:val="left" w:pos="216"/>
              </w:tabs>
              <w:ind w:left="74" w:hanging="142"/>
              <w:jc w:val="both"/>
            </w:pPr>
            <w:r w:rsidRPr="00474174">
              <w:rPr>
                <w:b/>
                <w:bCs/>
              </w:rPr>
              <w:t>Compétitivité :</w:t>
            </w:r>
            <w:r w:rsidRPr="00474174">
              <w:t xml:space="preserve"> Éviter le déplacement de la production hors de l'UE ("fuite de carbone") tout en maintenant l'emploi industriel.</w:t>
            </w:r>
          </w:p>
          <w:p w14:paraId="0A4E2190" w14:textId="5DF00EB1" w:rsidR="00622AC2" w:rsidRPr="00474174" w:rsidRDefault="00622AC2" w:rsidP="00F93FDD">
            <w:pPr>
              <w:pStyle w:val="Paragraphedeliste"/>
              <w:numPr>
                <w:ilvl w:val="0"/>
                <w:numId w:val="8"/>
              </w:numPr>
              <w:tabs>
                <w:tab w:val="left" w:pos="216"/>
              </w:tabs>
              <w:ind w:left="74" w:hanging="142"/>
              <w:jc w:val="both"/>
            </w:pPr>
            <w:r w:rsidRPr="00474174">
              <w:rPr>
                <w:b/>
                <w:bCs/>
              </w:rPr>
              <w:t>Acceptabilité Sociale :</w:t>
            </w:r>
            <w:r w:rsidRPr="00474174">
              <w:t xml:space="preserve"> Garantir que les coûts de la transition (notamment le SEQE 2 sur les bâtiments et le transport) ne pèsent pas de manière disproportionnée sur les ménages à faible revenu. Le </w:t>
            </w:r>
            <w:r w:rsidRPr="00474174">
              <w:rPr>
                <w:b/>
                <w:bCs/>
              </w:rPr>
              <w:t>Fonds Social pour le Climat</w:t>
            </w:r>
            <w:r w:rsidRPr="00474174">
              <w:t xml:space="preserve"> a été créé pour atténuer cet impact.</w:t>
            </w:r>
          </w:p>
          <w:p w14:paraId="043C787A" w14:textId="6F76F5F3" w:rsidR="008E7F67" w:rsidRPr="00474174" w:rsidRDefault="00622AC2" w:rsidP="00F93FDD">
            <w:pPr>
              <w:pStyle w:val="Paragraphedeliste"/>
              <w:numPr>
                <w:ilvl w:val="0"/>
                <w:numId w:val="8"/>
              </w:numPr>
              <w:tabs>
                <w:tab w:val="left" w:pos="216"/>
              </w:tabs>
              <w:ind w:left="74" w:hanging="142"/>
              <w:jc w:val="both"/>
            </w:pPr>
            <w:r w:rsidRPr="00474174">
              <w:rPr>
                <w:b/>
                <w:bCs/>
              </w:rPr>
              <w:t>Sécurité d'Approvisionnement :</w:t>
            </w:r>
            <w:r w:rsidRPr="00474174">
              <w:t xml:space="preserve"> Gérer la dépendance aux pays tiers pour l'approvisionnement en matières premières critiques nécessaires aux ENR et aux batteries.</w:t>
            </w:r>
          </w:p>
        </w:tc>
      </w:tr>
      <w:tr w:rsidR="008E7F67" w14:paraId="4DB5BC27" w14:textId="77777777" w:rsidTr="00474174">
        <w:trPr>
          <w:trHeight w:val="283"/>
        </w:trPr>
        <w:tc>
          <w:tcPr>
            <w:tcW w:w="1529" w:type="dxa"/>
            <w:shd w:val="clear" w:color="auto" w:fill="FFCE3C"/>
            <w:vAlign w:val="center"/>
          </w:tcPr>
          <w:p w14:paraId="0E9E4C56" w14:textId="2EFA1C6D" w:rsidR="008E7F67" w:rsidRPr="00474174" w:rsidRDefault="00622AC2" w:rsidP="00F93FDD">
            <w:pPr>
              <w:jc w:val="center"/>
              <w:rPr>
                <w:b/>
                <w:bCs/>
              </w:rPr>
            </w:pPr>
            <w:r w:rsidRPr="00474174">
              <w:rPr>
                <w:b/>
                <w:bCs/>
              </w:rPr>
              <w:t>Enjeux ou problématiques</w:t>
            </w:r>
          </w:p>
        </w:tc>
        <w:tc>
          <w:tcPr>
            <w:tcW w:w="7533" w:type="dxa"/>
          </w:tcPr>
          <w:p w14:paraId="43D84671" w14:textId="77777777" w:rsidR="00622AC2" w:rsidRPr="00474174" w:rsidRDefault="00622AC2" w:rsidP="00622AC2">
            <w:r w:rsidRPr="00474174">
              <w:t xml:space="preserve">- Transition juste pour les secteurs dépendants des énergies fossiles.  </w:t>
            </w:r>
          </w:p>
          <w:p w14:paraId="5B1332D8" w14:textId="77777777" w:rsidR="00622AC2" w:rsidRPr="00474174" w:rsidRDefault="00622AC2" w:rsidP="00622AC2">
            <w:r w:rsidRPr="00474174">
              <w:t xml:space="preserve">- Coûts économiques et sociaux liés à la transition.  </w:t>
            </w:r>
          </w:p>
          <w:p w14:paraId="0A92617D" w14:textId="77777777" w:rsidR="00622AC2" w:rsidRPr="00474174" w:rsidRDefault="00622AC2" w:rsidP="00622AC2">
            <w:r w:rsidRPr="00474174">
              <w:t xml:space="preserve">- Innovation technologique nécessaire pour réduire les émissions industrielles.  </w:t>
            </w:r>
          </w:p>
          <w:p w14:paraId="69E33D5B" w14:textId="735E7E68" w:rsidR="008E7F67" w:rsidRPr="00474174" w:rsidRDefault="00622AC2" w:rsidP="00F93FDD">
            <w:r w:rsidRPr="00474174">
              <w:t>- Coordination entre les États membres pour une mise en œuvre efficace.</w:t>
            </w:r>
          </w:p>
        </w:tc>
      </w:tr>
    </w:tbl>
    <w:p w14:paraId="6317E9DA" w14:textId="4C2D9617" w:rsidR="004669E0" w:rsidRDefault="004669E0" w:rsidP="001630A9"/>
    <w:p w14:paraId="0A22F5CC" w14:textId="6BE17468" w:rsidR="004669E0" w:rsidRDefault="004669E0" w:rsidP="001630A9"/>
    <w:p w14:paraId="740B2A11" w14:textId="3CD3E97D" w:rsidR="004669E0" w:rsidRDefault="004669E0" w:rsidP="001630A9"/>
    <w:p w14:paraId="524B34BA" w14:textId="29CE4CCD" w:rsidR="00C13159" w:rsidRDefault="00C13159" w:rsidP="00C13159">
      <w:pPr>
        <w:tabs>
          <w:tab w:val="left" w:pos="4020"/>
        </w:tabs>
        <w:jc w:val="both"/>
        <w:rPr>
          <w:b/>
          <w:bCs/>
          <w:color w:val="EE0000"/>
          <w:sz w:val="16"/>
          <w:szCs w:val="16"/>
        </w:rPr>
      </w:pPr>
    </w:p>
    <w:p w14:paraId="415447FE" w14:textId="77777777" w:rsidR="00BC646C" w:rsidRDefault="00BC646C" w:rsidP="00C13159">
      <w:pPr>
        <w:tabs>
          <w:tab w:val="left" w:pos="4020"/>
        </w:tabs>
        <w:jc w:val="both"/>
        <w:rPr>
          <w:b/>
          <w:bCs/>
          <w:color w:val="EE0000"/>
          <w:sz w:val="16"/>
          <w:szCs w:val="16"/>
        </w:rPr>
      </w:pPr>
    </w:p>
    <w:p w14:paraId="0A0232C5" w14:textId="77777777" w:rsidR="00BC646C" w:rsidRDefault="00BC646C" w:rsidP="00C13159">
      <w:pPr>
        <w:tabs>
          <w:tab w:val="left" w:pos="4020"/>
        </w:tabs>
        <w:jc w:val="both"/>
        <w:rPr>
          <w:b/>
          <w:bCs/>
          <w:color w:val="EE0000"/>
          <w:sz w:val="16"/>
          <w:szCs w:val="16"/>
        </w:rPr>
      </w:pPr>
    </w:p>
    <w:p w14:paraId="04AFA37E" w14:textId="77777777" w:rsidR="00BC646C" w:rsidRDefault="00BC646C" w:rsidP="00C13159">
      <w:pPr>
        <w:tabs>
          <w:tab w:val="left" w:pos="4020"/>
        </w:tabs>
        <w:jc w:val="both"/>
        <w:rPr>
          <w:b/>
          <w:bCs/>
          <w:color w:val="EE0000"/>
          <w:sz w:val="16"/>
          <w:szCs w:val="16"/>
        </w:rPr>
      </w:pPr>
    </w:p>
    <w:p w14:paraId="1D8C522C" w14:textId="77777777" w:rsidR="00BC646C" w:rsidRDefault="00BC646C" w:rsidP="00C13159">
      <w:pPr>
        <w:tabs>
          <w:tab w:val="left" w:pos="4020"/>
        </w:tabs>
        <w:jc w:val="both"/>
        <w:rPr>
          <w:b/>
          <w:bCs/>
          <w:color w:val="EE0000"/>
          <w:sz w:val="16"/>
          <w:szCs w:val="16"/>
        </w:rPr>
      </w:pPr>
    </w:p>
    <w:p w14:paraId="663E615C" w14:textId="5E30387A" w:rsidR="00BC646C" w:rsidRDefault="00BC646C" w:rsidP="00BC646C">
      <w:pPr>
        <w:tabs>
          <w:tab w:val="left" w:pos="4020"/>
        </w:tabs>
        <w:jc w:val="both"/>
        <w:rPr>
          <w:b/>
          <w:bCs/>
          <w:color w:val="EE0000"/>
          <w:sz w:val="16"/>
          <w:szCs w:val="16"/>
        </w:rPr>
      </w:pPr>
      <w:r>
        <w:rPr>
          <w:rFonts w:asciiTheme="majorBidi" w:hAnsiTheme="majorBidi" w:cstheme="majorBidi"/>
          <w:noProof/>
        </w:rPr>
        <w:lastRenderedPageBreak/>
        <mc:AlternateContent>
          <mc:Choice Requires="wps">
            <w:drawing>
              <wp:anchor distT="0" distB="0" distL="114300" distR="114300" simplePos="0" relativeHeight="251666432" behindDoc="0" locked="0" layoutInCell="1" allowOverlap="1" wp14:anchorId="1B3BF63B" wp14:editId="6B9AFCB0">
                <wp:simplePos x="0" y="0"/>
                <wp:positionH relativeFrom="column">
                  <wp:posOffset>3110230</wp:posOffset>
                </wp:positionH>
                <wp:positionV relativeFrom="paragraph">
                  <wp:posOffset>191770</wp:posOffset>
                </wp:positionV>
                <wp:extent cx="2590800" cy="571500"/>
                <wp:effectExtent l="0" t="0" r="0" b="0"/>
                <wp:wrapNone/>
                <wp:docPr id="1686931085" name="Rectangle 1"/>
                <wp:cNvGraphicFramePr/>
                <a:graphic xmlns:a="http://schemas.openxmlformats.org/drawingml/2006/main">
                  <a:graphicData uri="http://schemas.microsoft.com/office/word/2010/wordprocessingShape">
                    <wps:wsp>
                      <wps:cNvSpPr/>
                      <wps:spPr>
                        <a:xfrm>
                          <a:off x="0" y="0"/>
                          <a:ext cx="2590800" cy="571500"/>
                        </a:xfrm>
                        <a:prstGeom prst="rect">
                          <a:avLst/>
                        </a:prstGeom>
                        <a:solidFill>
                          <a:srgbClr val="CCCC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B2189C" w14:textId="3C4291F8" w:rsidR="004669E0" w:rsidRPr="00F93FDD" w:rsidRDefault="004669E0" w:rsidP="004669E0">
                            <w:pPr>
                              <w:spacing w:after="0"/>
                              <w:jc w:val="center"/>
                              <w:rPr>
                                <w:color w:val="1F3864" w:themeColor="accent1" w:themeShade="80"/>
                                <w:sz w:val="32"/>
                                <w:szCs w:val="32"/>
                              </w:rPr>
                            </w:pPr>
                            <w:r>
                              <w:rPr>
                                <w:b/>
                                <w:bCs/>
                                <w:color w:val="1F3864" w:themeColor="accent1" w:themeShade="80"/>
                                <w:sz w:val="32"/>
                                <w:szCs w:val="32"/>
                              </w:rPr>
                              <w:t>Impact sur les exportations marocaines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B3BF63B" id="_x0000_s1028" style="position:absolute;left:0;text-align:left;margin-left:244.9pt;margin-top:15.1pt;width:204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" fillcolor="#ccf" stroked="f" strokeweight="1pt">
                <v:textbox>
                  <w:txbxContent>
                    <w:p w14:paraId="18B2189C" w14:textId="3C4291F8" w:rsidR="004669E0" w:rsidRPr="00F93FDD" w:rsidRDefault="004669E0" w:rsidP="004669E0">
                      <w:pPr>
                        <w:spacing w:after="0"/>
                        <w:jc w:val="center"/>
                        <w:rPr>
                          <w:color w:val="1F3864" w:themeColor="accent1" w:themeShade="80"/>
                          <w:sz w:val="32"/>
                          <w:szCs w:val="32"/>
                        </w:rPr>
                      </w:pPr>
                      <w:r>
                        <w:rPr>
                          <w:b/>
                          <w:bCs/>
                          <w:color w:val="1F3864" w:themeColor="accent1" w:themeShade="80"/>
                          <w:sz w:val="32"/>
                          <w:szCs w:val="32"/>
                        </w:rPr>
                        <w:t>Impact sur les exportations marocaines</w:t>
                      </w:r>
                    </w:p>
                  </w:txbxContent>
                </v:textbox>
              </v:rect>
            </w:pict>
          </mc:Fallback>
        </mc:AlternateContent>
      </w:r>
      <w:r>
        <w:rPr>
          <w:rFonts w:asciiTheme="majorBidi" w:hAnsiTheme="majorBidi" w:cstheme="majorBidi"/>
          <w:noProof/>
        </w:rPr>
        <mc:AlternateContent>
          <mc:Choice Requires="wps">
            <w:drawing>
              <wp:anchor distT="0" distB="0" distL="114300" distR="114300" simplePos="0" relativeHeight="251665408" behindDoc="0" locked="0" layoutInCell="1" allowOverlap="1" wp14:anchorId="60F824CB" wp14:editId="7338F850">
                <wp:simplePos x="0" y="0"/>
                <wp:positionH relativeFrom="column">
                  <wp:posOffset>-114300</wp:posOffset>
                </wp:positionH>
                <wp:positionV relativeFrom="paragraph">
                  <wp:posOffset>-298450</wp:posOffset>
                </wp:positionV>
                <wp:extent cx="3581400" cy="676275"/>
                <wp:effectExtent l="0" t="0" r="0" b="9525"/>
                <wp:wrapNone/>
                <wp:docPr id="1772395783" name="Rectangle 1"/>
                <wp:cNvGraphicFramePr/>
                <a:graphic xmlns:a="http://schemas.openxmlformats.org/drawingml/2006/main">
                  <a:graphicData uri="http://schemas.microsoft.com/office/word/2010/wordprocessingShape">
                    <wps:wsp>
                      <wps:cNvSpPr/>
                      <wps:spPr>
                        <a:xfrm>
                          <a:off x="0" y="0"/>
                          <a:ext cx="3581400" cy="676275"/>
                        </a:xfrm>
                        <a:prstGeom prst="rect">
                          <a:avLst/>
                        </a:prstGeom>
                        <a:solidFill>
                          <a:srgbClr val="CCCC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59D62B" w14:textId="77777777" w:rsidR="004669E0" w:rsidRPr="00F93FDD" w:rsidRDefault="004669E0" w:rsidP="004669E0">
                            <w:pPr>
                              <w:spacing w:after="0"/>
                              <w:jc w:val="center"/>
                              <w:rPr>
                                <w:color w:val="1F3864" w:themeColor="accent1" w:themeShade="80"/>
                                <w:sz w:val="36"/>
                                <w:szCs w:val="36"/>
                              </w:rPr>
                            </w:pPr>
                            <w:r w:rsidRPr="00F93FDD">
                              <w:rPr>
                                <w:b/>
                                <w:bCs/>
                                <w:color w:val="1F3864" w:themeColor="accent1" w:themeShade="80"/>
                                <w:sz w:val="56"/>
                                <w:szCs w:val="56"/>
                              </w:rPr>
                              <w:t>Green Deal Européen</w:t>
                            </w:r>
                            <w:r>
                              <w:rPr>
                                <w:b/>
                                <w:bCs/>
                                <w:color w:val="1F3864" w:themeColor="accent1" w:themeShade="80"/>
                                <w:sz w:val="56"/>
                                <w:szCs w:val="56"/>
                              </w:rPr>
                              <w:t xml:space="preserve"> </w:t>
                            </w:r>
                            <w:r w:rsidRPr="00F93FDD">
                              <w:rPr>
                                <w:b/>
                                <w:bCs/>
                                <w:color w:val="1F3864" w:themeColor="accent1" w:themeShade="80"/>
                                <w:sz w:val="40"/>
                                <w:szCs w:val="40"/>
                              </w:rPr>
                              <w:t>:</w:t>
                            </w:r>
                            <w:r w:rsidRPr="00F93FDD">
                              <w:rPr>
                                <w:b/>
                                <w:bCs/>
                                <w:color w:val="1F3864" w:themeColor="accent1" w:themeShade="80"/>
                                <w:sz w:val="56"/>
                                <w:szCs w:val="56"/>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0F824CB" id="_x0000_s1029" style="position:absolute;left:0;text-align:left;margin-left:-9pt;margin-top:-23.5pt;width:282pt;height:5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" fillcolor="#ccf" stroked="f" strokeweight="1pt">
                <v:textbox>
                  <w:txbxContent>
                    <w:p w14:paraId="6B59D62B" w14:textId="77777777" w:rsidR="004669E0" w:rsidRPr="00F93FDD" w:rsidRDefault="004669E0" w:rsidP="004669E0">
                      <w:pPr>
                        <w:spacing w:after="0"/>
                        <w:jc w:val="center"/>
                        <w:rPr>
                          <w:color w:val="1F3864" w:themeColor="accent1" w:themeShade="80"/>
                          <w:sz w:val="36"/>
                          <w:szCs w:val="36"/>
                        </w:rPr>
                      </w:pPr>
                      <w:r w:rsidRPr="00F93FDD">
                        <w:rPr>
                          <w:b/>
                          <w:bCs/>
                          <w:color w:val="1F3864" w:themeColor="accent1" w:themeShade="80"/>
                          <w:sz w:val="56"/>
                          <w:szCs w:val="56"/>
                        </w:rPr>
                        <w:t>Green Deal Européen</w:t>
                      </w:r>
                      <w:r>
                        <w:rPr>
                          <w:b/>
                          <w:bCs/>
                          <w:color w:val="1F3864" w:themeColor="accent1" w:themeShade="80"/>
                          <w:sz w:val="56"/>
                          <w:szCs w:val="56"/>
                        </w:rPr>
                        <w:t xml:space="preserve"> </w:t>
                      </w:r>
                      <w:r w:rsidRPr="00F93FDD">
                        <w:rPr>
                          <w:b/>
                          <w:bCs/>
                          <w:color w:val="1F3864" w:themeColor="accent1" w:themeShade="80"/>
                          <w:sz w:val="40"/>
                          <w:szCs w:val="40"/>
                        </w:rPr>
                        <w:t>:</w:t>
                      </w:r>
                      <w:r w:rsidRPr="00F93FDD">
                        <w:rPr>
                          <w:b/>
                          <w:bCs/>
                          <w:color w:val="1F3864" w:themeColor="accent1" w:themeShade="80"/>
                          <w:sz w:val="56"/>
                          <w:szCs w:val="56"/>
                        </w:rPr>
                        <w:t> </w:t>
                      </w:r>
                    </w:p>
                  </w:txbxContent>
                </v:textbox>
              </v:rect>
            </w:pict>
          </mc:Fallback>
        </mc:AlternateContent>
      </w:r>
      <w:r w:rsidRPr="00EE5519">
        <w:rPr>
          <w:rFonts w:asciiTheme="majorBidi" w:hAnsiTheme="majorBidi" w:cstheme="majorBidi"/>
          <w:noProof/>
        </w:rPr>
        <w:drawing>
          <wp:anchor distT="0" distB="0" distL="114300" distR="114300" simplePos="0" relativeHeight="251664384" behindDoc="1" locked="0" layoutInCell="1" allowOverlap="1" wp14:anchorId="7BBC0089" wp14:editId="74FFAC96">
            <wp:simplePos x="0" y="0"/>
            <wp:positionH relativeFrom="column">
              <wp:posOffset>-885825</wp:posOffset>
            </wp:positionH>
            <wp:positionV relativeFrom="paragraph">
              <wp:posOffset>-902970</wp:posOffset>
            </wp:positionV>
            <wp:extent cx="7603490" cy="1275080"/>
            <wp:effectExtent l="0" t="0" r="0" b="1270"/>
            <wp:wrapNone/>
            <wp:docPr id="1018980603" name="Image 4" descr="10 faits essentiels sur l'économie de la mer que vous devez connaî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faits essentiels sur l'économie de la mer que vous devez connaître"/>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66869"/>
                    <a:stretch>
                      <a:fillRect/>
                    </a:stretch>
                  </pic:blipFill>
                  <pic:spPr bwMode="auto">
                    <a:xfrm>
                      <a:off x="0" y="0"/>
                      <a:ext cx="7603490" cy="127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FEDAB8" w14:textId="36A6DF03" w:rsidR="00BC646C" w:rsidRDefault="00BC646C" w:rsidP="00BC646C">
      <w:pPr>
        <w:tabs>
          <w:tab w:val="left" w:pos="4020"/>
        </w:tabs>
        <w:jc w:val="both"/>
        <w:rPr>
          <w:b/>
          <w:bCs/>
          <w:color w:val="EE0000"/>
          <w:sz w:val="16"/>
          <w:szCs w:val="16"/>
        </w:rPr>
      </w:pPr>
    </w:p>
    <w:p w14:paraId="1B73ED92" w14:textId="77777777" w:rsidR="00BC646C" w:rsidRDefault="00BC646C" w:rsidP="00BC646C">
      <w:pPr>
        <w:tabs>
          <w:tab w:val="left" w:pos="4020"/>
        </w:tabs>
        <w:jc w:val="both"/>
        <w:rPr>
          <w:b/>
          <w:bCs/>
          <w:color w:val="EE0000"/>
          <w:sz w:val="16"/>
          <w:szCs w:val="16"/>
        </w:rPr>
      </w:pPr>
    </w:p>
    <w:p w14:paraId="064BE11F" w14:textId="77777777" w:rsidR="00BC646C" w:rsidRPr="00C13159" w:rsidRDefault="00BC646C" w:rsidP="00BC646C">
      <w:pPr>
        <w:tabs>
          <w:tab w:val="left" w:pos="4020"/>
        </w:tabs>
        <w:jc w:val="both"/>
        <w:rPr>
          <w:b/>
          <w:bCs/>
          <w:color w:val="EE0000"/>
          <w:sz w:val="16"/>
          <w:szCs w:val="16"/>
        </w:rPr>
      </w:pPr>
    </w:p>
    <w:p w14:paraId="4E7A4406" w14:textId="12517BF8" w:rsidR="00A461ED" w:rsidRPr="00F43562" w:rsidRDefault="00A461ED" w:rsidP="00110087">
      <w:pPr>
        <w:shd w:val="clear" w:color="auto" w:fill="003366"/>
        <w:jc w:val="center"/>
        <w:rPr>
          <w:rFonts w:cstheme="minorHAnsi"/>
          <w:b/>
          <w:bCs/>
          <w:color w:val="FFFFFF" w:themeColor="background1"/>
          <w:sz w:val="28"/>
          <w:szCs w:val="28"/>
        </w:rPr>
      </w:pPr>
      <w:r w:rsidRPr="00F43562">
        <w:rPr>
          <w:rFonts w:cstheme="minorHAnsi"/>
          <w:b/>
          <w:bCs/>
          <w:color w:val="FFFFFF" w:themeColor="background1"/>
          <w:sz w:val="28"/>
          <w:szCs w:val="28"/>
        </w:rPr>
        <w:t>Contexte marocain</w:t>
      </w:r>
    </w:p>
    <w:p w14:paraId="6A48F50B" w14:textId="422F13BB" w:rsidR="00110087" w:rsidRPr="00474174" w:rsidRDefault="000C2C93" w:rsidP="00110087">
      <w:pPr>
        <w:jc w:val="both"/>
        <w:rPr>
          <w:rFonts w:cstheme="minorHAnsi"/>
          <w:color w:val="000000" w:themeColor="text1"/>
        </w:rPr>
      </w:pPr>
      <w:r w:rsidRPr="00474174">
        <w:rPr>
          <w:rFonts w:cstheme="minorHAnsi"/>
          <w:color w:val="000000" w:themeColor="text1"/>
        </w:rPr>
        <w:t xml:space="preserve">Aujourd’hui, </w:t>
      </w:r>
      <w:r w:rsidR="00110087" w:rsidRPr="00474174">
        <w:rPr>
          <w:rFonts w:cstheme="minorHAnsi"/>
          <w:color w:val="000000" w:themeColor="text1"/>
        </w:rPr>
        <w:t xml:space="preserve">la décarbonation est désormais une réalité incontournable, incitant les acteurs économiques à adopter des stratégies visant à réduire leur empreinte carbone. Au Maroc, cette dynamique s’inscrit dans une volonté affirmée de renforcer la compétitivité des entreprises, en optimisant leur consommation énergétique pour réduire leurs coûts et accéder aux marchés internationaux sans être pénalisés par la taxe carbone ou d’autres mécanismes de tarification du carbone. </w:t>
      </w:r>
    </w:p>
    <w:p w14:paraId="0BED913F" w14:textId="3468A864" w:rsidR="00110087" w:rsidRPr="00474174" w:rsidRDefault="00110087" w:rsidP="00110087">
      <w:pPr>
        <w:jc w:val="both"/>
        <w:rPr>
          <w:rFonts w:cstheme="minorHAnsi"/>
          <w:color w:val="000000" w:themeColor="text1"/>
        </w:rPr>
      </w:pPr>
      <w:r w:rsidRPr="00474174">
        <w:rPr>
          <w:rFonts w:cstheme="minorHAnsi"/>
          <w:color w:val="000000" w:themeColor="text1"/>
        </w:rPr>
        <w:t xml:space="preserve">Depuis 2010, le Maroc a pris des engagements forts en faveur de la décarbonation, notamment avec l’adoption de la loi n°13-09 relative aux énergies renouvelables, qui a marqué le début d’une politique proactive dans ce domaine. La stratégie nationale en matière d’énergie a ainsi placé l’efficacité énergétique et le développement des énergies renouvelables au cœur de ses priorités. </w:t>
      </w:r>
    </w:p>
    <w:p w14:paraId="33E9E718" w14:textId="0A0B3374" w:rsidR="00110087" w:rsidRPr="00474174" w:rsidRDefault="00110087" w:rsidP="00110087">
      <w:pPr>
        <w:jc w:val="both"/>
        <w:rPr>
          <w:rFonts w:cstheme="minorHAnsi"/>
          <w:color w:val="000000" w:themeColor="text1"/>
        </w:rPr>
      </w:pPr>
      <w:r w:rsidRPr="00474174">
        <w:rPr>
          <w:rFonts w:cstheme="minorHAnsi"/>
          <w:color w:val="000000" w:themeColor="text1"/>
        </w:rPr>
        <w:t xml:space="preserve">Depuis plus de douze ans, le pays vise à améliorer l’efficacité énergétique dans tous les secteurs, avec des objectifs ambitieux : atteindre 15 % d’économies d’ici 2030. Ces ambitions ont été formellement consacrées par la loi n°47-09 relative à l’efficacité énergétique, adoptée le 29 septembre 2011, qui vise à augmenter l’efficacité dans l’utilisation des ressources énergétiques, à réduire le gaspillage, à alléger le coût de l’énergie pour l’économie nationale, tout en contribuant au développement durable. </w:t>
      </w:r>
    </w:p>
    <w:p w14:paraId="2F5348F4" w14:textId="77777777" w:rsidR="00110087" w:rsidRPr="00474174" w:rsidRDefault="00110087" w:rsidP="00110087">
      <w:pPr>
        <w:jc w:val="both"/>
        <w:rPr>
          <w:rFonts w:cstheme="minorHAnsi"/>
          <w:color w:val="000000" w:themeColor="text1"/>
        </w:rPr>
      </w:pPr>
      <w:r w:rsidRPr="00474174">
        <w:rPr>
          <w:rFonts w:cstheme="minorHAnsi"/>
          <w:color w:val="000000" w:themeColor="text1"/>
        </w:rPr>
        <w:t>Ainsi, le Maroc s’inscrit résolument dans une démarche de transition énergétique cohérente, alignée sur les enjeux mondiaux de décarbonation, tout en renforçant sa compétitivité économique et en favorisant un développement durable.</w:t>
      </w:r>
    </w:p>
    <w:p w14:paraId="757E7B81" w14:textId="0EF86231" w:rsidR="005418FB" w:rsidRPr="00474174" w:rsidRDefault="005418FB" w:rsidP="005418FB">
      <w:pPr>
        <w:shd w:val="clear" w:color="auto" w:fill="003366"/>
        <w:jc w:val="center"/>
        <w:rPr>
          <w:rFonts w:cstheme="minorHAnsi"/>
          <w:b/>
          <w:bCs/>
          <w:color w:val="FFFFFF" w:themeColor="background1"/>
        </w:rPr>
      </w:pPr>
      <w:r w:rsidRPr="00474174">
        <w:rPr>
          <w:rFonts w:cstheme="minorHAnsi"/>
          <w:b/>
          <w:bCs/>
          <w:color w:val="FFFFFF" w:themeColor="background1"/>
        </w:rPr>
        <w:t xml:space="preserve">Impact du Green Deal Européen sur les exportations marocaines </w:t>
      </w:r>
    </w:p>
    <w:p w14:paraId="2CD9D4A9" w14:textId="68A9B869" w:rsidR="00C13159" w:rsidRPr="00474174" w:rsidRDefault="005418FB" w:rsidP="00C13159">
      <w:pPr>
        <w:jc w:val="both"/>
        <w:rPr>
          <w:rFonts w:cstheme="minorHAnsi"/>
          <w:color w:val="000000" w:themeColor="text1"/>
        </w:rPr>
      </w:pPr>
      <w:r w:rsidRPr="00474174">
        <w:rPr>
          <w:rFonts w:cstheme="minorHAnsi"/>
          <w:color w:val="000000" w:themeColor="text1"/>
        </w:rPr>
        <w:t>Le Pacte vert européen (</w:t>
      </w:r>
      <w:proofErr w:type="spellStart"/>
      <w:r w:rsidRPr="00474174">
        <w:rPr>
          <w:rFonts w:cstheme="minorHAnsi"/>
          <w:color w:val="000000" w:themeColor="text1"/>
        </w:rPr>
        <w:t>European</w:t>
      </w:r>
      <w:proofErr w:type="spellEnd"/>
      <w:r w:rsidRPr="00474174">
        <w:rPr>
          <w:rFonts w:cstheme="minorHAnsi"/>
          <w:color w:val="000000" w:themeColor="text1"/>
        </w:rPr>
        <w:t xml:space="preserve"> Green Deal) exerce des impacts significatifs sur les exportateurs marocains, principalement en raison des contraintes réglementaires croissantes qu’il impose. Parmi celles-ci, le Mécanisme d’Ajustement Carbone aux Frontières (MACF) constitue une mesure majeure susceptible de réduire les exportations du Maroc vers l’Union européenne. Étant donné que l’UE représente environ 65 % des marchés d’exportation marocains, ces nouvelles normes environnementales posent des défis considérables pour la compétitivité des exportateurs. </w:t>
      </w:r>
    </w:p>
    <w:tbl>
      <w:tblPr>
        <w:tblStyle w:val="Grilledutableau"/>
        <w:tblW w:w="9067" w:type="dxa"/>
        <w:tblLook w:val="04A0" w:firstRow="1" w:lastRow="0" w:firstColumn="1" w:lastColumn="0" w:noHBand="0" w:noVBand="1"/>
      </w:tblPr>
      <w:tblGrid>
        <w:gridCol w:w="1544"/>
        <w:gridCol w:w="1208"/>
        <w:gridCol w:w="1150"/>
        <w:gridCol w:w="1161"/>
        <w:gridCol w:w="1388"/>
        <w:gridCol w:w="1344"/>
        <w:gridCol w:w="1272"/>
      </w:tblGrid>
      <w:tr w:rsidR="00BD0B90" w:rsidRPr="00474174" w14:paraId="22412960" w14:textId="77777777" w:rsidTr="00F43562">
        <w:tc>
          <w:tcPr>
            <w:tcW w:w="9067" w:type="dxa"/>
            <w:gridSpan w:val="7"/>
            <w:tcBorders>
              <w:left w:val="nil"/>
              <w:bottom w:val="single" w:sz="4" w:space="0" w:color="auto"/>
              <w:right w:val="nil"/>
            </w:tcBorders>
            <w:shd w:val="clear" w:color="auto" w:fill="76E3FF"/>
          </w:tcPr>
          <w:p w14:paraId="554A663E" w14:textId="698FCC9A" w:rsidR="00BD0B90" w:rsidRPr="00474174" w:rsidRDefault="00BD0B90" w:rsidP="00BD0B90">
            <w:pPr>
              <w:jc w:val="center"/>
              <w:rPr>
                <w:rFonts w:cstheme="minorHAnsi"/>
                <w:color w:val="000000" w:themeColor="text1"/>
              </w:rPr>
            </w:pPr>
            <w:r w:rsidRPr="00474174">
              <w:rPr>
                <w:rFonts w:cstheme="minorHAnsi"/>
                <w:b/>
                <w:bCs/>
                <w:color w:val="000000" w:themeColor="text1"/>
              </w:rPr>
              <w:t>Mécanisme d’Ajustement Carbone aux Frontières (MACF)</w:t>
            </w:r>
          </w:p>
        </w:tc>
      </w:tr>
      <w:tr w:rsidR="00BD0B90" w:rsidRPr="00474174" w14:paraId="12C24E4A" w14:textId="77777777" w:rsidTr="00F43562">
        <w:trPr>
          <w:trHeight w:val="1693"/>
        </w:trPr>
        <w:tc>
          <w:tcPr>
            <w:tcW w:w="9067" w:type="dxa"/>
            <w:gridSpan w:val="7"/>
            <w:tcBorders>
              <w:left w:val="nil"/>
              <w:right w:val="nil"/>
            </w:tcBorders>
          </w:tcPr>
          <w:p w14:paraId="2C836BBB" w14:textId="43963915" w:rsidR="00C13159" w:rsidRPr="00474174" w:rsidRDefault="00BD0B90" w:rsidP="00474174">
            <w:pPr>
              <w:spacing w:line="276" w:lineRule="auto"/>
              <w:jc w:val="both"/>
              <w:rPr>
                <w:rFonts w:cstheme="minorHAnsi"/>
                <w:color w:val="000000" w:themeColor="text1"/>
              </w:rPr>
            </w:pPr>
            <w:r w:rsidRPr="00474174">
              <w:rPr>
                <w:rFonts w:cstheme="minorHAnsi"/>
                <w:color w:val="000000" w:themeColor="text1"/>
              </w:rPr>
              <w:t>Depuis le 1</w:t>
            </w:r>
            <w:r w:rsidR="004D772B" w:rsidRPr="00474174">
              <w:rPr>
                <w:rFonts w:cstheme="minorHAnsi"/>
                <w:color w:val="000000" w:themeColor="text1"/>
                <w:vertAlign w:val="superscript"/>
              </w:rPr>
              <w:t>er</w:t>
            </w:r>
            <w:r w:rsidR="004D772B" w:rsidRPr="00474174">
              <w:rPr>
                <w:rFonts w:cstheme="minorHAnsi"/>
                <w:color w:val="000000" w:themeColor="text1"/>
              </w:rPr>
              <w:t xml:space="preserve"> </w:t>
            </w:r>
            <w:r w:rsidRPr="00474174">
              <w:rPr>
                <w:rFonts w:cstheme="minorHAnsi"/>
                <w:color w:val="000000" w:themeColor="text1"/>
              </w:rPr>
              <w:t>octobre 2023, le règlement (UE) 2023/956 a introduit le mécanisme d’ajustement carbone aux frontières (MACF) de l’UE dans le but de réduire les émissions de carbone, de fixer un juste prix pour le carbone émis lors de la production de marchandises à forte intensité de carbone importées dans l’UE</w:t>
            </w:r>
            <w:r w:rsidR="00C13159" w:rsidRPr="00474174">
              <w:rPr>
                <w:rFonts w:cstheme="minorHAnsi"/>
                <w:color w:val="000000" w:themeColor="text1"/>
              </w:rPr>
              <w:t>.</w:t>
            </w:r>
          </w:p>
          <w:p w14:paraId="13788CE8" w14:textId="28363CF1" w:rsidR="00C13159" w:rsidRPr="00474174" w:rsidRDefault="00C13159" w:rsidP="00BC646C">
            <w:pPr>
              <w:jc w:val="both"/>
              <w:rPr>
                <w:rFonts w:cstheme="minorHAnsi"/>
                <w:color w:val="000000" w:themeColor="text1"/>
              </w:rPr>
            </w:pPr>
            <w:r w:rsidRPr="00474174">
              <w:rPr>
                <w:rFonts w:cstheme="minorHAnsi"/>
                <w:color w:val="000000" w:themeColor="text1"/>
              </w:rPr>
              <w:t xml:space="preserve">Ce mécanisme est mis en œuvre par phases et s’aligne sur la suppression progressive de l’allocation de quotas à titre gratuit prévue dans le système d’échange de quotas d’émission de l’UE </w:t>
            </w:r>
            <w:r w:rsidRPr="00474174">
              <w:rPr>
                <w:rFonts w:cstheme="minorHAnsi"/>
                <w:b/>
                <w:bCs/>
                <w:color w:val="000000" w:themeColor="text1"/>
              </w:rPr>
              <w:t>(SEQE).</w:t>
            </w:r>
          </w:p>
        </w:tc>
      </w:tr>
      <w:tr w:rsidR="00BD0B90" w:rsidRPr="00474174" w14:paraId="00BC8410" w14:textId="77777777" w:rsidTr="00F43562">
        <w:tc>
          <w:tcPr>
            <w:tcW w:w="1544" w:type="dxa"/>
            <w:shd w:val="clear" w:color="auto" w:fill="FFFF00"/>
            <w:vAlign w:val="center"/>
          </w:tcPr>
          <w:p w14:paraId="431E8E84" w14:textId="46115654" w:rsidR="00BD0B90" w:rsidRPr="00474174" w:rsidRDefault="00BD0B90" w:rsidP="00BD0B90">
            <w:pPr>
              <w:spacing w:before="240"/>
              <w:jc w:val="center"/>
              <w:rPr>
                <w:rFonts w:cstheme="minorHAnsi"/>
                <w:b/>
                <w:bCs/>
                <w:color w:val="000000" w:themeColor="text1"/>
              </w:rPr>
            </w:pPr>
            <w:r w:rsidRPr="00474174">
              <w:rPr>
                <w:rFonts w:cstheme="minorHAnsi"/>
                <w:b/>
                <w:bCs/>
                <w:color w:val="000000" w:themeColor="text1"/>
              </w:rPr>
              <w:t>Phase transitoire</w:t>
            </w:r>
            <w:r w:rsidR="0085121D" w:rsidRPr="00474174">
              <w:rPr>
                <w:rFonts w:cstheme="minorHAnsi"/>
                <w:b/>
                <w:bCs/>
                <w:color w:val="000000" w:themeColor="text1"/>
              </w:rPr>
              <w:t xml:space="preserve"> (01/10/2023-31/12/2025)</w:t>
            </w:r>
          </w:p>
        </w:tc>
        <w:tc>
          <w:tcPr>
            <w:tcW w:w="7518" w:type="dxa"/>
            <w:gridSpan w:val="6"/>
          </w:tcPr>
          <w:p w14:paraId="287F6801" w14:textId="55232C12" w:rsidR="00C13159" w:rsidRPr="00474174" w:rsidRDefault="00C13159" w:rsidP="00F43562">
            <w:pPr>
              <w:jc w:val="both"/>
              <w:rPr>
                <w:rFonts w:cstheme="minorHAnsi"/>
                <w:color w:val="000000" w:themeColor="text1"/>
              </w:rPr>
            </w:pPr>
            <w:r w:rsidRPr="00474174">
              <w:rPr>
                <w:rFonts w:cstheme="minorHAnsi"/>
                <w:color w:val="000000" w:themeColor="text1"/>
              </w:rPr>
              <w:t>Cette période transitoire avait pour but de servir de phase pilote et d’apprentissage pour les importateurs, producteurs et autorités concernées. Elle a permis de recueillir des informations sur les émissions afin d’affiner la méthode de calcul des émissions intrinsèques. Elle a aussi aligné le prix du carbone dans l’UE avec celui des marchandises à forte intensité carbone importées.</w:t>
            </w:r>
          </w:p>
          <w:p w14:paraId="3AC5B180" w14:textId="77777777" w:rsidR="00C13159" w:rsidRPr="00474174" w:rsidRDefault="00C13159" w:rsidP="00F43562">
            <w:pPr>
              <w:jc w:val="both"/>
              <w:rPr>
                <w:rFonts w:cstheme="minorHAnsi"/>
                <w:color w:val="000000" w:themeColor="text1"/>
              </w:rPr>
            </w:pPr>
            <w:r w:rsidRPr="00474174">
              <w:rPr>
                <w:rFonts w:cstheme="minorHAnsi"/>
                <w:color w:val="000000" w:themeColor="text1"/>
              </w:rPr>
              <w:t xml:space="preserve">Pendant cette période, les obligations des importateurs soumis au MACF étaient limitées : </w:t>
            </w:r>
          </w:p>
          <w:p w14:paraId="4D374BBF" w14:textId="77777777" w:rsidR="00C13159" w:rsidRPr="00474174" w:rsidRDefault="00C13159" w:rsidP="00F43562">
            <w:pPr>
              <w:numPr>
                <w:ilvl w:val="0"/>
                <w:numId w:val="17"/>
              </w:numPr>
              <w:jc w:val="both"/>
              <w:rPr>
                <w:rFonts w:cstheme="minorHAnsi"/>
                <w:color w:val="000000" w:themeColor="text1"/>
              </w:rPr>
            </w:pPr>
            <w:r w:rsidRPr="00474174">
              <w:rPr>
                <w:rFonts w:cstheme="minorHAnsi"/>
                <w:color w:val="000000" w:themeColor="text1"/>
              </w:rPr>
              <w:t>Ils devaient soumettre des rapports trimestriels sur les émissions de GES (directes et indirectes) liées à leurs importations, sans payer ni faire d’ajustements.</w:t>
            </w:r>
          </w:p>
          <w:p w14:paraId="5D61CCD4" w14:textId="493A6F42" w:rsidR="00C13159" w:rsidRPr="00474174" w:rsidRDefault="00C13159" w:rsidP="00F43562">
            <w:pPr>
              <w:numPr>
                <w:ilvl w:val="0"/>
                <w:numId w:val="17"/>
              </w:numPr>
              <w:jc w:val="both"/>
              <w:rPr>
                <w:rFonts w:cstheme="minorHAnsi"/>
                <w:color w:val="000000" w:themeColor="text1"/>
              </w:rPr>
            </w:pPr>
            <w:r w:rsidRPr="00474174">
              <w:rPr>
                <w:rFonts w:cstheme="minorHAnsi"/>
                <w:color w:val="000000" w:themeColor="text1"/>
              </w:rPr>
              <w:lastRenderedPageBreak/>
              <w:t>Ces rapports devaient être faits dans le mois suivant la fin de chaque trimestre.</w:t>
            </w:r>
          </w:p>
          <w:p w14:paraId="0BFBD72E" w14:textId="77777777" w:rsidR="00C13159" w:rsidRPr="00474174" w:rsidRDefault="00C13159" w:rsidP="00F43562">
            <w:pPr>
              <w:numPr>
                <w:ilvl w:val="0"/>
                <w:numId w:val="17"/>
              </w:numPr>
              <w:jc w:val="both"/>
              <w:rPr>
                <w:rFonts w:cstheme="minorHAnsi"/>
                <w:color w:val="000000" w:themeColor="text1"/>
              </w:rPr>
            </w:pPr>
            <w:r w:rsidRPr="00474174">
              <w:rPr>
                <w:rFonts w:cstheme="minorHAnsi"/>
                <w:color w:val="000000" w:themeColor="text1"/>
              </w:rPr>
              <w:t>La période transitoire s’étendait du 1er octobre 2023 au 31 décembre 2025.</w:t>
            </w:r>
          </w:p>
          <w:p w14:paraId="064E310D" w14:textId="1A7AC179" w:rsidR="00C13159" w:rsidRPr="00474174" w:rsidRDefault="00C13159" w:rsidP="00474174">
            <w:pPr>
              <w:jc w:val="both"/>
              <w:rPr>
                <w:rFonts w:cstheme="minorHAnsi"/>
                <w:color w:val="000000" w:themeColor="text1"/>
              </w:rPr>
            </w:pPr>
            <w:r w:rsidRPr="00474174">
              <w:rPr>
                <w:rFonts w:cstheme="minorHAnsi"/>
                <w:color w:val="000000" w:themeColor="text1"/>
              </w:rPr>
              <w:t>Un registre transitoire MACF, élaboré par la Commission européenne, permettait aux opérateurs de s’enregistrer et de communiquer avec la Commission, les autorités et les douanes via le portail MACF (TAXUD).</w:t>
            </w:r>
          </w:p>
        </w:tc>
      </w:tr>
      <w:tr w:rsidR="0085121D" w:rsidRPr="00474174" w14:paraId="50F6DCAF" w14:textId="77777777" w:rsidTr="00F43562">
        <w:tc>
          <w:tcPr>
            <w:tcW w:w="1544" w:type="dxa"/>
            <w:vMerge w:val="restart"/>
            <w:shd w:val="clear" w:color="auto" w:fill="C5D3FF"/>
            <w:vAlign w:val="center"/>
          </w:tcPr>
          <w:p w14:paraId="5B230019" w14:textId="2920CA24" w:rsidR="0085121D" w:rsidRPr="00474174" w:rsidRDefault="0085121D" w:rsidP="00BD0B90">
            <w:pPr>
              <w:spacing w:before="240"/>
              <w:jc w:val="center"/>
              <w:rPr>
                <w:rFonts w:cstheme="minorHAnsi"/>
                <w:b/>
                <w:bCs/>
                <w:color w:val="000000" w:themeColor="text1"/>
              </w:rPr>
            </w:pPr>
            <w:r w:rsidRPr="00474174">
              <w:rPr>
                <w:rFonts w:cstheme="minorHAnsi"/>
                <w:b/>
                <w:bCs/>
                <w:color w:val="000000" w:themeColor="text1"/>
              </w:rPr>
              <w:lastRenderedPageBreak/>
              <w:t>Phase obligatoire, à partir de janvier 2026</w:t>
            </w:r>
          </w:p>
        </w:tc>
        <w:tc>
          <w:tcPr>
            <w:tcW w:w="7518" w:type="dxa"/>
            <w:gridSpan w:val="6"/>
          </w:tcPr>
          <w:p w14:paraId="68C7B851" w14:textId="61E28E33" w:rsidR="00C13159" w:rsidRPr="00474174" w:rsidRDefault="00C13159" w:rsidP="00474174">
            <w:pPr>
              <w:jc w:val="both"/>
              <w:rPr>
                <w:rFonts w:cstheme="minorHAnsi"/>
                <w:color w:val="000000" w:themeColor="text1"/>
              </w:rPr>
            </w:pPr>
            <w:r w:rsidRPr="00474174">
              <w:rPr>
                <w:rFonts w:cstheme="minorHAnsi"/>
                <w:color w:val="000000" w:themeColor="text1"/>
              </w:rPr>
              <w:t>Le mécanisme d’ajustement carbone aux frontières (MACF) de l’UE devrait commencer en 2026, mais au début, il ne concernera que certains produits à haut risque de fuite de carbone, comme :</w:t>
            </w:r>
          </w:p>
        </w:tc>
      </w:tr>
      <w:tr w:rsidR="0085121D" w:rsidRPr="00474174" w14:paraId="5669F1C0" w14:textId="77777777" w:rsidTr="00BC646C">
        <w:trPr>
          <w:trHeight w:val="278"/>
        </w:trPr>
        <w:tc>
          <w:tcPr>
            <w:tcW w:w="1544" w:type="dxa"/>
            <w:vMerge/>
            <w:shd w:val="clear" w:color="auto" w:fill="C5D3FF"/>
            <w:vAlign w:val="center"/>
          </w:tcPr>
          <w:p w14:paraId="7B3F8CD8" w14:textId="77777777" w:rsidR="0085121D" w:rsidRPr="00474174" w:rsidRDefault="0085121D" w:rsidP="00BD0B90">
            <w:pPr>
              <w:spacing w:before="240"/>
              <w:jc w:val="center"/>
              <w:rPr>
                <w:rFonts w:cstheme="minorHAnsi"/>
                <w:b/>
                <w:bCs/>
                <w:color w:val="000000" w:themeColor="text1"/>
              </w:rPr>
            </w:pPr>
          </w:p>
        </w:tc>
        <w:tc>
          <w:tcPr>
            <w:tcW w:w="1208" w:type="dxa"/>
            <w:shd w:val="clear" w:color="auto" w:fill="FBE4D5" w:themeFill="accent2" w:themeFillTint="33"/>
            <w:vAlign w:val="center"/>
          </w:tcPr>
          <w:p w14:paraId="65B91834" w14:textId="37801A84" w:rsidR="0085121D" w:rsidRPr="00474174" w:rsidRDefault="0085121D" w:rsidP="00A048C0">
            <w:pPr>
              <w:jc w:val="center"/>
              <w:rPr>
                <w:rFonts w:cstheme="minorHAnsi"/>
                <w:b/>
                <w:bCs/>
                <w:color w:val="000000" w:themeColor="text1"/>
              </w:rPr>
            </w:pPr>
            <w:r w:rsidRPr="00474174">
              <w:rPr>
                <w:rFonts w:cstheme="minorHAnsi"/>
                <w:b/>
                <w:bCs/>
                <w:color w:val="000000" w:themeColor="text1"/>
              </w:rPr>
              <w:t>Fer/acier</w:t>
            </w:r>
          </w:p>
        </w:tc>
        <w:tc>
          <w:tcPr>
            <w:tcW w:w="1150" w:type="dxa"/>
            <w:shd w:val="clear" w:color="auto" w:fill="F7CAAC" w:themeFill="accent2" w:themeFillTint="66"/>
            <w:vAlign w:val="center"/>
          </w:tcPr>
          <w:p w14:paraId="08E275AF" w14:textId="03CA658B" w:rsidR="0085121D" w:rsidRPr="00474174" w:rsidRDefault="0085121D" w:rsidP="00A048C0">
            <w:pPr>
              <w:jc w:val="center"/>
              <w:rPr>
                <w:rFonts w:cstheme="minorHAnsi"/>
                <w:b/>
                <w:bCs/>
                <w:color w:val="000000" w:themeColor="text1"/>
              </w:rPr>
            </w:pPr>
            <w:r w:rsidRPr="00474174">
              <w:rPr>
                <w:rFonts w:cstheme="minorHAnsi"/>
                <w:b/>
                <w:bCs/>
                <w:color w:val="000000" w:themeColor="text1"/>
              </w:rPr>
              <w:t>Ciment</w:t>
            </w:r>
          </w:p>
        </w:tc>
        <w:tc>
          <w:tcPr>
            <w:tcW w:w="1161" w:type="dxa"/>
            <w:shd w:val="clear" w:color="auto" w:fill="F4B083" w:themeFill="accent2" w:themeFillTint="99"/>
            <w:vAlign w:val="center"/>
          </w:tcPr>
          <w:p w14:paraId="72C9788A" w14:textId="640736B3" w:rsidR="0085121D" w:rsidRPr="00474174" w:rsidRDefault="0085121D" w:rsidP="00A048C0">
            <w:pPr>
              <w:jc w:val="center"/>
              <w:rPr>
                <w:rFonts w:cstheme="minorHAnsi"/>
                <w:b/>
                <w:bCs/>
                <w:color w:val="000000" w:themeColor="text1"/>
              </w:rPr>
            </w:pPr>
            <w:r w:rsidRPr="00474174">
              <w:rPr>
                <w:rFonts w:cstheme="minorHAnsi"/>
                <w:b/>
                <w:bCs/>
                <w:color w:val="000000" w:themeColor="text1"/>
              </w:rPr>
              <w:t>Engrais</w:t>
            </w:r>
          </w:p>
        </w:tc>
        <w:tc>
          <w:tcPr>
            <w:tcW w:w="1388" w:type="dxa"/>
            <w:shd w:val="clear" w:color="auto" w:fill="FFF2CC" w:themeFill="accent4" w:themeFillTint="33"/>
            <w:vAlign w:val="center"/>
          </w:tcPr>
          <w:p w14:paraId="3622284A" w14:textId="2A350E5A" w:rsidR="0085121D" w:rsidRPr="00474174" w:rsidRDefault="0085121D" w:rsidP="00A048C0">
            <w:pPr>
              <w:jc w:val="center"/>
              <w:rPr>
                <w:rFonts w:cstheme="minorHAnsi"/>
                <w:b/>
                <w:bCs/>
                <w:color w:val="000000" w:themeColor="text1"/>
              </w:rPr>
            </w:pPr>
            <w:r w:rsidRPr="00474174">
              <w:rPr>
                <w:rFonts w:cstheme="minorHAnsi"/>
                <w:b/>
                <w:bCs/>
                <w:color w:val="000000" w:themeColor="text1"/>
              </w:rPr>
              <w:t>Aluminium</w:t>
            </w:r>
          </w:p>
        </w:tc>
        <w:tc>
          <w:tcPr>
            <w:tcW w:w="1344" w:type="dxa"/>
            <w:shd w:val="clear" w:color="auto" w:fill="FFE599" w:themeFill="accent4" w:themeFillTint="66"/>
            <w:vAlign w:val="center"/>
          </w:tcPr>
          <w:p w14:paraId="577076EC" w14:textId="347C7C41" w:rsidR="0085121D" w:rsidRPr="00474174" w:rsidRDefault="0085121D" w:rsidP="00A048C0">
            <w:pPr>
              <w:jc w:val="center"/>
              <w:rPr>
                <w:rFonts w:cstheme="minorHAnsi"/>
                <w:b/>
                <w:bCs/>
                <w:color w:val="000000" w:themeColor="text1"/>
              </w:rPr>
            </w:pPr>
            <w:r w:rsidRPr="00474174">
              <w:rPr>
                <w:rFonts w:cstheme="minorHAnsi"/>
                <w:b/>
                <w:bCs/>
                <w:color w:val="000000" w:themeColor="text1"/>
              </w:rPr>
              <w:t>Hydrogène</w:t>
            </w:r>
          </w:p>
        </w:tc>
        <w:tc>
          <w:tcPr>
            <w:tcW w:w="1267" w:type="dxa"/>
            <w:shd w:val="clear" w:color="auto" w:fill="FFD966" w:themeFill="accent4" w:themeFillTint="99"/>
            <w:vAlign w:val="center"/>
          </w:tcPr>
          <w:p w14:paraId="500B23D1" w14:textId="4A4F6CA1" w:rsidR="0085121D" w:rsidRPr="00474174" w:rsidRDefault="0085121D" w:rsidP="00A048C0">
            <w:pPr>
              <w:jc w:val="center"/>
              <w:rPr>
                <w:rFonts w:cstheme="minorHAnsi"/>
                <w:b/>
                <w:bCs/>
                <w:color w:val="000000" w:themeColor="text1"/>
              </w:rPr>
            </w:pPr>
            <w:r w:rsidRPr="00474174">
              <w:rPr>
                <w:rFonts w:cstheme="minorHAnsi"/>
                <w:b/>
                <w:bCs/>
                <w:color w:val="000000" w:themeColor="text1"/>
              </w:rPr>
              <w:t>Electricité</w:t>
            </w:r>
          </w:p>
        </w:tc>
      </w:tr>
      <w:tr w:rsidR="0085121D" w:rsidRPr="00474174" w14:paraId="454D24DC" w14:textId="77777777" w:rsidTr="00F43562">
        <w:tc>
          <w:tcPr>
            <w:tcW w:w="1544" w:type="dxa"/>
            <w:vMerge/>
            <w:shd w:val="clear" w:color="auto" w:fill="C5D3FF"/>
            <w:vAlign w:val="center"/>
          </w:tcPr>
          <w:p w14:paraId="1F337B08" w14:textId="77777777" w:rsidR="0085121D" w:rsidRPr="00474174" w:rsidRDefault="0085121D" w:rsidP="00C13159">
            <w:pPr>
              <w:spacing w:before="240"/>
              <w:jc w:val="center"/>
              <w:rPr>
                <w:rFonts w:cstheme="minorHAnsi"/>
                <w:b/>
                <w:bCs/>
                <w:color w:val="000000" w:themeColor="text1"/>
              </w:rPr>
            </w:pPr>
          </w:p>
        </w:tc>
        <w:tc>
          <w:tcPr>
            <w:tcW w:w="7518" w:type="dxa"/>
            <w:gridSpan w:val="6"/>
          </w:tcPr>
          <w:p w14:paraId="150393E3" w14:textId="4B761818" w:rsidR="00C13159" w:rsidRPr="00474174" w:rsidRDefault="00C13159" w:rsidP="00474174">
            <w:pPr>
              <w:jc w:val="both"/>
              <w:rPr>
                <w:rFonts w:cstheme="minorHAnsi"/>
                <w:color w:val="000000" w:themeColor="text1"/>
              </w:rPr>
            </w:pPr>
            <w:r w:rsidRPr="00474174">
              <w:rPr>
                <w:rFonts w:cstheme="minorHAnsi"/>
                <w:color w:val="000000" w:themeColor="text1"/>
              </w:rPr>
              <w:t>Selon le règlement (UE) 2023/956, le règlement d’exécution (UE) 2023/1773 fixe les règles pour déclarer la quantité de marchandises importées, leurs émissions de carbone (directes et indirectes), et le prix du carbone à payer pour ces émissions.</w:t>
            </w:r>
          </w:p>
        </w:tc>
      </w:tr>
    </w:tbl>
    <w:p w14:paraId="5A88294D" w14:textId="38F7235A" w:rsidR="00C13159" w:rsidRPr="00474174" w:rsidRDefault="00A27323" w:rsidP="00C13159">
      <w:pPr>
        <w:shd w:val="clear" w:color="auto" w:fill="003366"/>
        <w:spacing w:before="240"/>
        <w:jc w:val="center"/>
        <w:rPr>
          <w:rFonts w:cstheme="minorHAnsi"/>
          <w:b/>
          <w:bCs/>
          <w:color w:val="FFFFFF" w:themeColor="background1"/>
        </w:rPr>
      </w:pPr>
      <w:r w:rsidRPr="00474174">
        <w:rPr>
          <w:rFonts w:cstheme="minorHAnsi"/>
          <w:b/>
          <w:bCs/>
          <w:color w:val="FFFFFF" w:themeColor="background1"/>
        </w:rPr>
        <w:t>Conclusion</w:t>
      </w:r>
    </w:p>
    <w:p w14:paraId="7D4E8FC6" w14:textId="5EC37DA0" w:rsidR="00A27323" w:rsidRPr="00474174" w:rsidRDefault="00A27323" w:rsidP="00BC646C">
      <w:pPr>
        <w:spacing w:before="240"/>
        <w:jc w:val="both"/>
        <w:rPr>
          <w:rFonts w:cstheme="minorHAnsi"/>
          <w:color w:val="000000" w:themeColor="text1"/>
        </w:rPr>
      </w:pPr>
      <w:r w:rsidRPr="00474174">
        <w:rPr>
          <w:rFonts w:cstheme="minorHAnsi"/>
          <w:color w:val="000000" w:themeColor="text1"/>
        </w:rPr>
        <w:t>Les importateurs doivent déclarer les émissions de CO</w:t>
      </w:r>
      <w:r w:rsidRPr="00474174">
        <w:rPr>
          <w:rFonts w:cstheme="minorHAnsi"/>
          <w:color w:val="000000" w:themeColor="text1"/>
          <w:vertAlign w:val="subscript"/>
        </w:rPr>
        <w:t>2</w:t>
      </w:r>
      <w:r w:rsidRPr="00474174">
        <w:rPr>
          <w:rFonts w:cstheme="minorHAnsi"/>
          <w:color w:val="000000" w:themeColor="text1"/>
        </w:rPr>
        <w:t xml:space="preserve"> liées à leur production. Si ces émissions dépassent les normes européennes, ils doivent acheter un certificat d’émission au prix du CO</w:t>
      </w:r>
      <w:r w:rsidRPr="00474174">
        <w:rPr>
          <w:rFonts w:cstheme="minorHAnsi"/>
          <w:color w:val="000000" w:themeColor="text1"/>
          <w:vertAlign w:val="subscript"/>
        </w:rPr>
        <w:t>2</w:t>
      </w:r>
      <w:r w:rsidRPr="00474174">
        <w:rPr>
          <w:rFonts w:cstheme="minorHAnsi"/>
          <w:color w:val="000000" w:themeColor="text1"/>
        </w:rPr>
        <w:t xml:space="preserve"> dans l’UE. L’objectif de cette règle est d’éviter que des entreprises polluantes délocalisent leur production dans des pays où la réglementation est moins stricte, ce qu’on appelle la fuite de carbone. </w:t>
      </w:r>
    </w:p>
    <w:p w14:paraId="2A47CFB4" w14:textId="3FD96AC1" w:rsidR="00D12CA1" w:rsidRPr="00474174" w:rsidRDefault="00D12CA1" w:rsidP="00BC646C">
      <w:pPr>
        <w:spacing w:before="240"/>
        <w:jc w:val="center"/>
        <w:rPr>
          <w:rFonts w:cstheme="minorHAnsi"/>
          <w:b/>
          <w:bCs/>
          <w:color w:val="000000" w:themeColor="text1"/>
        </w:rPr>
      </w:pPr>
      <w:r w:rsidRPr="00474174">
        <w:rPr>
          <w:rFonts w:cstheme="minorHAnsi"/>
          <w:b/>
          <w:bCs/>
          <w:color w:val="000000" w:themeColor="text1"/>
        </w:rPr>
        <w:t>Impact indirect du MACF sur le commerce des produits de la mer</w:t>
      </w:r>
    </w:p>
    <w:p w14:paraId="07592B07" w14:textId="77777777" w:rsidR="00D12CA1" w:rsidRPr="00474174" w:rsidRDefault="00D12CA1" w:rsidP="00BC646C">
      <w:pPr>
        <w:spacing w:before="240"/>
        <w:jc w:val="both"/>
        <w:rPr>
          <w:rFonts w:cstheme="minorHAnsi"/>
          <w:color w:val="000000" w:themeColor="text1"/>
        </w:rPr>
      </w:pPr>
      <w:r w:rsidRPr="00474174">
        <w:rPr>
          <w:rFonts w:cstheme="minorHAnsi"/>
          <w:color w:val="000000" w:themeColor="text1"/>
        </w:rPr>
        <w:t>Même si les produits de la mer ne sont pas directement soumis au MACF aujourd’hui, plusieurs effets indirects sont à prévoir :</w:t>
      </w:r>
    </w:p>
    <w:p w14:paraId="259C3387" w14:textId="55E0B2FA" w:rsidR="00D12CA1" w:rsidRPr="00BC646C" w:rsidRDefault="00D12CA1" w:rsidP="00BC646C">
      <w:pPr>
        <w:pStyle w:val="Paragraphedeliste"/>
        <w:numPr>
          <w:ilvl w:val="0"/>
          <w:numId w:val="20"/>
        </w:numPr>
        <w:spacing w:before="240"/>
        <w:jc w:val="both"/>
        <w:rPr>
          <w:rFonts w:cstheme="minorHAnsi"/>
          <w:b/>
          <w:bCs/>
          <w:color w:val="000000" w:themeColor="text1"/>
        </w:rPr>
      </w:pPr>
      <w:r w:rsidRPr="00BC646C">
        <w:rPr>
          <w:rFonts w:cstheme="minorHAnsi"/>
          <w:b/>
          <w:bCs/>
          <w:color w:val="000000" w:themeColor="text1"/>
        </w:rPr>
        <w:t xml:space="preserve">Coûts logistiques et chaînes de valeur </w:t>
      </w:r>
    </w:p>
    <w:p w14:paraId="33BC540B" w14:textId="2A6126AA" w:rsidR="00D12CA1" w:rsidRPr="00474174" w:rsidRDefault="00D12CA1" w:rsidP="00BC646C">
      <w:pPr>
        <w:jc w:val="both"/>
        <w:rPr>
          <w:rFonts w:cstheme="minorHAnsi"/>
          <w:color w:val="000000" w:themeColor="text1"/>
        </w:rPr>
      </w:pPr>
      <w:r w:rsidRPr="00474174">
        <w:rPr>
          <w:rFonts w:cstheme="minorHAnsi"/>
          <w:color w:val="000000" w:themeColor="text1"/>
        </w:rPr>
        <w:t xml:space="preserve">Les filières exportatrices devront intensifier la collecte de données GES (de la pêche à la transformation, emballage, transport) pour anticiper toute extension réglementaire ultérieure. La pression vers une décarbonation de bout en bout pourrait devenir un critère d’accès au marché européen, surtout dans des appels d’offres exigeant une empreinte carbone maîtrisée. </w:t>
      </w:r>
    </w:p>
    <w:p w14:paraId="62A1885F" w14:textId="3FA02E1C" w:rsidR="00D12CA1" w:rsidRPr="00BC646C" w:rsidRDefault="00D12CA1" w:rsidP="00BC646C">
      <w:pPr>
        <w:pStyle w:val="Paragraphedeliste"/>
        <w:numPr>
          <w:ilvl w:val="0"/>
          <w:numId w:val="20"/>
        </w:numPr>
        <w:spacing w:before="240"/>
        <w:jc w:val="both"/>
        <w:rPr>
          <w:rFonts w:cstheme="minorHAnsi"/>
          <w:b/>
          <w:bCs/>
          <w:color w:val="000000" w:themeColor="text1"/>
        </w:rPr>
      </w:pPr>
      <w:r w:rsidRPr="00BC646C">
        <w:rPr>
          <w:rFonts w:cstheme="minorHAnsi"/>
          <w:b/>
          <w:bCs/>
          <w:color w:val="000000" w:themeColor="text1"/>
        </w:rPr>
        <w:t>Effet d’entraînement réglementaire</w:t>
      </w:r>
    </w:p>
    <w:p w14:paraId="6782A2C9" w14:textId="10C868DA" w:rsidR="00D12CA1" w:rsidRPr="00474174" w:rsidRDefault="00D12CA1" w:rsidP="00BC646C">
      <w:pPr>
        <w:jc w:val="both"/>
        <w:rPr>
          <w:rFonts w:cstheme="minorHAnsi"/>
          <w:color w:val="000000" w:themeColor="text1"/>
        </w:rPr>
      </w:pPr>
      <w:r w:rsidRPr="00474174">
        <w:rPr>
          <w:rFonts w:cstheme="minorHAnsi"/>
          <w:color w:val="000000" w:themeColor="text1"/>
        </w:rPr>
        <w:t xml:space="preserve">L’UE pourrait à terme mettre en place des exigences de </w:t>
      </w:r>
      <w:proofErr w:type="spellStart"/>
      <w:r w:rsidRPr="00474174">
        <w:rPr>
          <w:rFonts w:cstheme="minorHAnsi"/>
          <w:color w:val="000000" w:themeColor="text1"/>
        </w:rPr>
        <w:t>reporting</w:t>
      </w:r>
      <w:proofErr w:type="spellEnd"/>
      <w:r w:rsidRPr="00474174">
        <w:rPr>
          <w:rFonts w:cstheme="minorHAnsi"/>
          <w:color w:val="000000" w:themeColor="text1"/>
        </w:rPr>
        <w:t xml:space="preserve"> environnemental plus larges pour les biens importés, même </w:t>
      </w:r>
      <w:proofErr w:type="gramStart"/>
      <w:r w:rsidRPr="00474174">
        <w:rPr>
          <w:rFonts w:cstheme="minorHAnsi"/>
          <w:color w:val="000000" w:themeColor="text1"/>
        </w:rPr>
        <w:t>hors</w:t>
      </w:r>
      <w:proofErr w:type="gramEnd"/>
      <w:r w:rsidRPr="00474174">
        <w:rPr>
          <w:rFonts w:cstheme="minorHAnsi"/>
          <w:color w:val="000000" w:themeColor="text1"/>
        </w:rPr>
        <w:t xml:space="preserve"> MACF, car cela s’intègre dans sa stratégie "Fit for 55" et l’objectif de neutralité carbone</w:t>
      </w:r>
      <w:r w:rsidR="00BC646C">
        <w:rPr>
          <w:rFonts w:cstheme="minorHAnsi"/>
          <w:color w:val="000000" w:themeColor="text1"/>
        </w:rPr>
        <w:t xml:space="preserve">. </w:t>
      </w:r>
      <w:r w:rsidRPr="00474174">
        <w:rPr>
          <w:rFonts w:cstheme="minorHAnsi"/>
          <w:color w:val="000000" w:themeColor="text1"/>
        </w:rPr>
        <w:t xml:space="preserve">Cela signifie que même si les produits de la mer ne paient pas de certificats CBAM, ils pourraient être soumis à des obligations nouvelles de </w:t>
      </w:r>
      <w:proofErr w:type="spellStart"/>
      <w:r w:rsidRPr="00474174">
        <w:rPr>
          <w:rFonts w:cstheme="minorHAnsi"/>
          <w:b/>
          <w:bCs/>
          <w:color w:val="000000" w:themeColor="text1"/>
        </w:rPr>
        <w:t>reporting</w:t>
      </w:r>
      <w:proofErr w:type="spellEnd"/>
      <w:r w:rsidRPr="00474174">
        <w:rPr>
          <w:rFonts w:cstheme="minorHAnsi"/>
          <w:b/>
          <w:bCs/>
          <w:color w:val="000000" w:themeColor="text1"/>
        </w:rPr>
        <w:t xml:space="preserve"> </w:t>
      </w:r>
      <w:r w:rsidRPr="00474174">
        <w:rPr>
          <w:rFonts w:cstheme="minorHAnsi"/>
          <w:color w:val="000000" w:themeColor="text1"/>
        </w:rPr>
        <w:t>sur leurs émissions sur base volontaire ou obligatoire à l’avenir.</w:t>
      </w:r>
    </w:p>
    <w:p w14:paraId="702C8EEF" w14:textId="6EAF570A" w:rsidR="00D12CA1" w:rsidRPr="00BC646C" w:rsidRDefault="00D12CA1" w:rsidP="00BC646C">
      <w:pPr>
        <w:pStyle w:val="Paragraphedeliste"/>
        <w:numPr>
          <w:ilvl w:val="0"/>
          <w:numId w:val="20"/>
        </w:numPr>
        <w:spacing w:before="240"/>
        <w:jc w:val="both"/>
        <w:rPr>
          <w:rFonts w:cstheme="minorHAnsi"/>
          <w:b/>
          <w:bCs/>
          <w:color w:val="000000" w:themeColor="text1"/>
        </w:rPr>
      </w:pPr>
      <w:r w:rsidRPr="00BC646C">
        <w:rPr>
          <w:rFonts w:cstheme="minorHAnsi"/>
          <w:b/>
          <w:bCs/>
          <w:color w:val="000000" w:themeColor="text1"/>
        </w:rPr>
        <w:t>Compétitivité face à d’autres partenaires</w:t>
      </w:r>
    </w:p>
    <w:p w14:paraId="0CB74C07" w14:textId="26C5B0FE" w:rsidR="00D12CA1" w:rsidRPr="00474174" w:rsidRDefault="00D12CA1" w:rsidP="00BC646C">
      <w:pPr>
        <w:spacing w:before="240"/>
        <w:jc w:val="both"/>
        <w:rPr>
          <w:rFonts w:cstheme="minorHAnsi"/>
          <w:color w:val="000000" w:themeColor="text1"/>
        </w:rPr>
      </w:pPr>
      <w:r w:rsidRPr="00474174">
        <w:rPr>
          <w:rFonts w:cstheme="minorHAnsi"/>
          <w:color w:val="000000" w:themeColor="text1"/>
        </w:rPr>
        <w:t>Les marchés européens peuvent favoriser les produits avec une empreinte carbone étiquetée ou réduite, ce qui donne un avantage aux exportateurs marocains qui anticipent ces mesures.</w:t>
      </w:r>
      <w:r w:rsidR="00BC646C">
        <w:rPr>
          <w:rFonts w:cstheme="minorHAnsi"/>
          <w:color w:val="000000" w:themeColor="text1"/>
        </w:rPr>
        <w:t xml:space="preserve"> </w:t>
      </w:r>
      <w:r w:rsidRPr="00474174">
        <w:rPr>
          <w:rFonts w:cstheme="minorHAnsi"/>
          <w:color w:val="000000" w:themeColor="text1"/>
        </w:rPr>
        <w:t>À l’inverse, un manque d’anticipation pourrait, à terme, rendre certains produits de la mer moins attractifs comparativement à ceux de pays qui peuvent démontrer un moindre contenu carbone.</w:t>
      </w:r>
    </w:p>
    <w:p w14:paraId="5008CBE0" w14:textId="7882DDBC" w:rsidR="00B40B9D" w:rsidRPr="00474174" w:rsidRDefault="00A27323" w:rsidP="00BC646C">
      <w:pPr>
        <w:spacing w:before="240"/>
        <w:jc w:val="both"/>
        <w:rPr>
          <w:rFonts w:cstheme="minorHAnsi"/>
          <w:color w:val="000000" w:themeColor="text1"/>
        </w:rPr>
      </w:pPr>
      <w:r w:rsidRPr="00474174">
        <w:rPr>
          <w:rFonts w:cstheme="minorHAnsi"/>
          <w:color w:val="000000" w:themeColor="text1"/>
        </w:rPr>
        <w:t>Actuellement, le prix du CO</w:t>
      </w:r>
      <w:r w:rsidRPr="00474174">
        <w:rPr>
          <w:rFonts w:cstheme="minorHAnsi"/>
          <w:color w:val="000000" w:themeColor="text1"/>
          <w:vertAlign w:val="subscript"/>
        </w:rPr>
        <w:t xml:space="preserve">2 </w:t>
      </w:r>
      <w:r w:rsidRPr="00474174">
        <w:rPr>
          <w:rFonts w:cstheme="minorHAnsi"/>
          <w:color w:val="000000" w:themeColor="text1"/>
        </w:rPr>
        <w:t>dans l’UE est d’environ 70 à 80 euros la tonne, mais il pourrait dépasser 100 euros d’ici 2030. Cela pourrait presque doubler le coût de certains produits, comme l’acier. L’UE envisage aussi d’étendre cette règle à d’autres secteurs, comme l’automobile ou l’aéronautique.</w:t>
      </w:r>
    </w:p>
    <w:p w14:paraId="49EE8E1F" w14:textId="36549EAE" w:rsidR="00A27323" w:rsidRPr="00474174" w:rsidRDefault="00B40B9D" w:rsidP="00BC646C">
      <w:pPr>
        <w:spacing w:before="240"/>
        <w:jc w:val="both"/>
        <w:rPr>
          <w:rFonts w:cstheme="minorHAnsi"/>
          <w:color w:val="000000" w:themeColor="text1"/>
        </w:rPr>
      </w:pPr>
      <w:r w:rsidRPr="00474174">
        <w:rPr>
          <w:rFonts w:cstheme="minorHAnsi"/>
          <w:color w:val="000000" w:themeColor="text1"/>
        </w:rPr>
        <w:t xml:space="preserve"> En résumé, même si le Pacte vert européen pose des défis pour les exportateurs marocains, il représente aussi une opportunité de se repositionner vers une économie plus écologique, compétitive et résistante</w:t>
      </w:r>
      <w:r w:rsidR="00F43562" w:rsidRPr="00474174">
        <w:rPr>
          <w:rFonts w:cstheme="minorHAnsi"/>
          <w:color w:val="000000" w:themeColor="text1"/>
        </w:rPr>
        <w:t>.</w:t>
      </w:r>
    </w:p>
    <w:p w14:paraId="3AC7656F" w14:textId="675844A9" w:rsidR="00D12CA1" w:rsidRPr="00B40B9D" w:rsidRDefault="00BC646C" w:rsidP="00D12CA1">
      <w:pPr>
        <w:shd w:val="clear" w:color="auto" w:fill="002060"/>
        <w:spacing w:before="240"/>
        <w:jc w:val="center"/>
        <w:rPr>
          <w:b/>
          <w:bCs/>
          <w:sz w:val="24"/>
          <w:szCs w:val="24"/>
        </w:rPr>
      </w:pPr>
      <w:r w:rsidRPr="00474174">
        <w:rPr>
          <w:rFonts w:cstheme="minorHAnsi"/>
          <w:noProof/>
        </w:rPr>
        <w:lastRenderedPageBreak/>
        <w:drawing>
          <wp:anchor distT="0" distB="0" distL="114300" distR="114300" simplePos="0" relativeHeight="251672576" behindDoc="1" locked="0" layoutInCell="1" allowOverlap="1" wp14:anchorId="044CFB60" wp14:editId="1F4B3FFC">
            <wp:simplePos x="0" y="0"/>
            <wp:positionH relativeFrom="column">
              <wp:posOffset>-965835</wp:posOffset>
            </wp:positionH>
            <wp:positionV relativeFrom="page">
              <wp:posOffset>5715</wp:posOffset>
            </wp:positionV>
            <wp:extent cx="7626985" cy="10862310"/>
            <wp:effectExtent l="0" t="0" r="0" b="0"/>
            <wp:wrapNone/>
            <wp:docPr id="1687489971" name="Image 6" descr="10 faits essentiels sur l'économie de la mer que vous devez connaî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faits essentiels sur l'économie de la mer que vous devez connaître"/>
                    <pic:cNvPicPr>
                      <a:picLocks noChangeAspect="1" noChangeArrowheads="1"/>
                    </pic:cNvPicPr>
                  </pic:nvPicPr>
                  <pic:blipFill rotWithShape="1">
                    <a:blip r:embed="rId5">
                      <a:extLst>
                        <a:ext uri="{28A0092B-C50C-407E-A947-70E740481C1C}">
                          <a14:useLocalDpi xmlns:a14="http://schemas.microsoft.com/office/drawing/2010/main" val="0"/>
                        </a:ext>
                      </a:extLst>
                    </a:blip>
                    <a:srcRect l="44054"/>
                    <a:stretch>
                      <a:fillRect/>
                    </a:stretch>
                  </pic:blipFill>
                  <pic:spPr bwMode="auto">
                    <a:xfrm>
                      <a:off x="0" y="0"/>
                      <a:ext cx="7626985" cy="10862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2CA1" w:rsidRPr="00B40B9D">
        <w:rPr>
          <w:b/>
          <w:bCs/>
          <w:sz w:val="24"/>
          <w:szCs w:val="24"/>
        </w:rPr>
        <w:t>Liens utiles</w:t>
      </w:r>
    </w:p>
    <w:p w14:paraId="0E8B23A7" w14:textId="77777777" w:rsidR="00D12CA1" w:rsidRDefault="00000000" w:rsidP="00D12CA1">
      <w:pPr>
        <w:pStyle w:val="Paragraphedeliste"/>
        <w:numPr>
          <w:ilvl w:val="0"/>
          <w:numId w:val="14"/>
        </w:numPr>
      </w:pPr>
      <w:hyperlink r:id="rId6" w:history="1">
        <w:r w:rsidR="00D12CA1" w:rsidRPr="00D600BB">
          <w:rPr>
            <w:rStyle w:val="Lienhypertexte"/>
          </w:rPr>
          <w:t>https://customs-taxation.learning.europa.eu/local/mvpdgtaxud/trainingcatalog/index.php</w:t>
        </w:r>
      </w:hyperlink>
    </w:p>
    <w:p w14:paraId="0AE3665C" w14:textId="77777777" w:rsidR="00D12CA1" w:rsidRDefault="00000000" w:rsidP="00D12CA1">
      <w:pPr>
        <w:pStyle w:val="Paragraphedeliste"/>
        <w:numPr>
          <w:ilvl w:val="0"/>
          <w:numId w:val="14"/>
        </w:numPr>
      </w:pPr>
      <w:hyperlink r:id="rId7" w:anchor="guidance" w:history="1">
        <w:r w:rsidR="00D12CA1" w:rsidRPr="00D600BB">
          <w:rPr>
            <w:rStyle w:val="Lienhypertexte"/>
          </w:rPr>
          <w:t>https://taxation-customs.ec.europa.eu/carbon-border-adjustment-mechanism_en#guidance</w:t>
        </w:r>
      </w:hyperlink>
    </w:p>
    <w:p w14:paraId="50DA7CBC" w14:textId="77777777" w:rsidR="00D12CA1" w:rsidRPr="00B40B9D" w:rsidRDefault="00D12CA1" w:rsidP="00D12CA1">
      <w:pPr>
        <w:shd w:val="clear" w:color="auto" w:fill="002060"/>
        <w:spacing w:before="240"/>
        <w:jc w:val="center"/>
        <w:rPr>
          <w:b/>
          <w:bCs/>
          <w:sz w:val="24"/>
          <w:szCs w:val="24"/>
        </w:rPr>
      </w:pPr>
      <w:r w:rsidRPr="00B40B9D">
        <w:rPr>
          <w:b/>
          <w:bCs/>
          <w:sz w:val="24"/>
          <w:szCs w:val="24"/>
        </w:rPr>
        <w:t>Sources</w:t>
      </w:r>
    </w:p>
    <w:p w14:paraId="58FB1493" w14:textId="2E40DDF5" w:rsidR="00F43562" w:rsidRPr="00F43562" w:rsidRDefault="00000000" w:rsidP="00D12CA1">
      <w:pPr>
        <w:spacing w:before="240"/>
        <w:jc w:val="both"/>
        <w:rPr>
          <w:rFonts w:cstheme="minorHAnsi"/>
          <w:color w:val="000000" w:themeColor="text1"/>
          <w:sz w:val="24"/>
          <w:szCs w:val="24"/>
        </w:rPr>
      </w:pPr>
      <w:hyperlink r:id="rId8" w:anchor=":~:text=Depuis%20le%201%20octobre%202023,carbone%20import%C3%A9es%20dans%20l'UE" w:history="1">
        <w:r w:rsidR="00D12CA1" w:rsidRPr="00D600BB">
          <w:rPr>
            <w:rStyle w:val="Lienhypertexte"/>
          </w:rPr>
          <w:t>https://trade.ec.europa.eu/access-to-markets/fr/news/mecanisme-dajustement-carbone-aux-frontieres-macf#:~:text=Depuis%20le%201%20octobre%202023,carbone%20import%C3%A9es%20dans%20l'UE</w:t>
        </w:r>
      </w:hyperlink>
    </w:p>
    <w:p w14:paraId="5FCF2A61" w14:textId="78316F29" w:rsidR="00A27323" w:rsidRPr="00A27323" w:rsidRDefault="00A27323" w:rsidP="00A27323">
      <w:pPr>
        <w:spacing w:before="240"/>
        <w:jc w:val="both"/>
        <w:rPr>
          <w:rFonts w:asciiTheme="majorBidi" w:hAnsiTheme="majorBidi" w:cstheme="majorBidi"/>
          <w:color w:val="000000" w:themeColor="text1"/>
          <w:sz w:val="24"/>
          <w:szCs w:val="24"/>
        </w:rPr>
      </w:pPr>
    </w:p>
    <w:p w14:paraId="45C24695" w14:textId="015FD3CE" w:rsidR="00A663E6" w:rsidRDefault="00A27323" w:rsidP="00A27323">
      <w:pPr>
        <w:spacing w:before="240"/>
        <w:jc w:val="both"/>
        <w:rPr>
          <w:rFonts w:asciiTheme="majorBidi" w:hAnsiTheme="majorBidi" w:cstheme="majorBidi"/>
          <w:color w:val="000000" w:themeColor="text1"/>
          <w:sz w:val="24"/>
          <w:szCs w:val="24"/>
        </w:rPr>
      </w:pPr>
      <w:r w:rsidRPr="00A27323">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
    <w:p w14:paraId="4138BA80" w14:textId="53E8F4C4" w:rsidR="00D12CA1" w:rsidRDefault="00D12CA1" w:rsidP="00A27323">
      <w:pPr>
        <w:spacing w:before="240"/>
        <w:jc w:val="both"/>
        <w:rPr>
          <w:rFonts w:asciiTheme="majorBidi" w:hAnsiTheme="majorBidi" w:cstheme="majorBidi"/>
          <w:color w:val="000000" w:themeColor="text1"/>
          <w:sz w:val="24"/>
          <w:szCs w:val="24"/>
        </w:rPr>
      </w:pPr>
    </w:p>
    <w:p w14:paraId="48515E5D" w14:textId="77777777" w:rsidR="00D12CA1" w:rsidRDefault="00D12CA1" w:rsidP="00A27323">
      <w:pPr>
        <w:spacing w:before="240"/>
        <w:jc w:val="both"/>
        <w:rPr>
          <w:rFonts w:asciiTheme="majorBidi" w:hAnsiTheme="majorBidi" w:cstheme="majorBidi"/>
          <w:color w:val="000000" w:themeColor="text1"/>
          <w:sz w:val="24"/>
          <w:szCs w:val="24"/>
        </w:rPr>
      </w:pPr>
    </w:p>
    <w:p w14:paraId="6BB94AE1" w14:textId="77777777" w:rsidR="00D12CA1" w:rsidRDefault="00D12CA1" w:rsidP="00A27323">
      <w:pPr>
        <w:spacing w:before="240"/>
        <w:jc w:val="both"/>
        <w:rPr>
          <w:rFonts w:asciiTheme="majorBidi" w:hAnsiTheme="majorBidi" w:cstheme="majorBidi"/>
          <w:color w:val="000000" w:themeColor="text1"/>
          <w:sz w:val="24"/>
          <w:szCs w:val="24"/>
        </w:rPr>
      </w:pPr>
    </w:p>
    <w:p w14:paraId="7D402906" w14:textId="77777777" w:rsidR="00D12CA1" w:rsidRDefault="00D12CA1" w:rsidP="00A27323">
      <w:pPr>
        <w:spacing w:before="240"/>
        <w:jc w:val="both"/>
        <w:rPr>
          <w:rFonts w:asciiTheme="majorBidi" w:hAnsiTheme="majorBidi" w:cstheme="majorBidi"/>
          <w:color w:val="000000" w:themeColor="text1"/>
          <w:sz w:val="24"/>
          <w:szCs w:val="24"/>
        </w:rPr>
      </w:pPr>
    </w:p>
    <w:p w14:paraId="6B0BD0C3" w14:textId="098FCC49" w:rsidR="00D24B79" w:rsidRDefault="00BC646C" w:rsidP="00AD6C5D">
      <w:r w:rsidRPr="00EE5519">
        <w:rPr>
          <w:rFonts w:asciiTheme="majorBidi" w:hAnsiTheme="majorBidi" w:cstheme="majorBidi"/>
          <w:noProof/>
          <w:sz w:val="24"/>
          <w:szCs w:val="24"/>
        </w:rPr>
        <w:drawing>
          <wp:anchor distT="0" distB="0" distL="114300" distR="114300" simplePos="0" relativeHeight="251674624" behindDoc="0" locked="0" layoutInCell="1" allowOverlap="1" wp14:anchorId="5F953C1F" wp14:editId="0BF5B98C">
            <wp:simplePos x="0" y="0"/>
            <wp:positionH relativeFrom="column">
              <wp:posOffset>3478530</wp:posOffset>
            </wp:positionH>
            <wp:positionV relativeFrom="paragraph">
              <wp:posOffset>3300095</wp:posOffset>
            </wp:positionV>
            <wp:extent cx="3007895" cy="1756240"/>
            <wp:effectExtent l="0" t="0" r="2540" b="0"/>
            <wp:wrapNone/>
            <wp:docPr id="4" name="Picture 2" descr="FENIP | Introduction et Missions">
              <a:extLst xmlns:a="http://schemas.openxmlformats.org/drawingml/2006/main">
                <a:ext uri="{FF2B5EF4-FFF2-40B4-BE49-F238E27FC236}">
                  <a16:creationId xmlns:a16="http://schemas.microsoft.com/office/drawing/2014/main" id="{B95F3535-D9ED-A514-F1E0-2D249F69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FENIP | Introduction et Missions">
                      <a:extLst>
                        <a:ext uri="{FF2B5EF4-FFF2-40B4-BE49-F238E27FC236}">
                          <a16:creationId xmlns:a16="http://schemas.microsoft.com/office/drawing/2014/main" id="{B95F3535-D9ED-A514-F1E0-2D249F6991ED}"/>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7895" cy="1756240"/>
                    </a:xfrm>
                    <a:prstGeom prst="rect">
                      <a:avLst/>
                    </a:prstGeom>
                    <a:noFill/>
                  </pic:spPr>
                </pic:pic>
              </a:graphicData>
            </a:graphic>
            <wp14:sizeRelH relativeFrom="page">
              <wp14:pctWidth>0</wp14:pctWidth>
            </wp14:sizeRelH>
            <wp14:sizeRelV relativeFrom="page">
              <wp14:pctHeight>0</wp14:pctHeight>
            </wp14:sizeRelV>
          </wp:anchor>
        </w:drawing>
      </w:r>
    </w:p>
    <w:sectPr w:rsidR="00D24B79" w:rsidSect="00102E46">
      <w:pgSz w:w="11906" w:h="16838"/>
      <w:pgMar w:top="1417"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53FE"/>
    <w:multiLevelType w:val="multilevel"/>
    <w:tmpl w:val="D84C6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006493"/>
    <w:multiLevelType w:val="hybridMultilevel"/>
    <w:tmpl w:val="05200CFA"/>
    <w:lvl w:ilvl="0" w:tplc="C1987A16">
      <w:start w:val="1"/>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C33D87"/>
    <w:multiLevelType w:val="hybridMultilevel"/>
    <w:tmpl w:val="9448246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6177122"/>
    <w:multiLevelType w:val="multilevel"/>
    <w:tmpl w:val="C7D0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32197"/>
    <w:multiLevelType w:val="multilevel"/>
    <w:tmpl w:val="0D5A9A3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2E7D66"/>
    <w:multiLevelType w:val="multilevel"/>
    <w:tmpl w:val="F9663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C7D8E"/>
    <w:multiLevelType w:val="multilevel"/>
    <w:tmpl w:val="217A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E111B"/>
    <w:multiLevelType w:val="hybridMultilevel"/>
    <w:tmpl w:val="094875C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2DC4D66"/>
    <w:multiLevelType w:val="hybridMultilevel"/>
    <w:tmpl w:val="F476DCA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6928F6"/>
    <w:multiLevelType w:val="hybridMultilevel"/>
    <w:tmpl w:val="A21A610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4E70458"/>
    <w:multiLevelType w:val="multilevel"/>
    <w:tmpl w:val="C448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85019C"/>
    <w:multiLevelType w:val="multilevel"/>
    <w:tmpl w:val="E718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46989"/>
    <w:multiLevelType w:val="hybridMultilevel"/>
    <w:tmpl w:val="E8E2B7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2A38EE"/>
    <w:multiLevelType w:val="hybridMultilevel"/>
    <w:tmpl w:val="EC36714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697148E"/>
    <w:multiLevelType w:val="multilevel"/>
    <w:tmpl w:val="7D2C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022DCD"/>
    <w:multiLevelType w:val="hybridMultilevel"/>
    <w:tmpl w:val="B84A9B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F133FA"/>
    <w:multiLevelType w:val="hybridMultilevel"/>
    <w:tmpl w:val="F476DCA2"/>
    <w:lvl w:ilvl="0" w:tplc="F3000D2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AAE62B2"/>
    <w:multiLevelType w:val="hybridMultilevel"/>
    <w:tmpl w:val="3A82D53E"/>
    <w:lvl w:ilvl="0" w:tplc="C1987A16">
      <w:start w:val="1"/>
      <w:numFmt w:val="bullet"/>
      <w:lvlText w:val="-"/>
      <w:lvlJc w:val="left"/>
      <w:pPr>
        <w:ind w:left="1080" w:hanging="360"/>
      </w:pPr>
      <w:rPr>
        <w:rFonts w:ascii="Calibri" w:eastAsiaTheme="minorHAnsi" w:hAnsi="Calibri" w:cs="Calibri"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72F904AD"/>
    <w:multiLevelType w:val="multilevel"/>
    <w:tmpl w:val="39D4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41817"/>
    <w:multiLevelType w:val="multilevel"/>
    <w:tmpl w:val="95C2C7A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936878">
    <w:abstractNumId w:val="19"/>
  </w:num>
  <w:num w:numId="2" w16cid:durableId="97604791">
    <w:abstractNumId w:val="18"/>
  </w:num>
  <w:num w:numId="3" w16cid:durableId="445469029">
    <w:abstractNumId w:val="5"/>
  </w:num>
  <w:num w:numId="4" w16cid:durableId="695696881">
    <w:abstractNumId w:val="11"/>
  </w:num>
  <w:num w:numId="5" w16cid:durableId="1119377403">
    <w:abstractNumId w:val="10"/>
  </w:num>
  <w:num w:numId="6" w16cid:durableId="2077584537">
    <w:abstractNumId w:val="16"/>
  </w:num>
  <w:num w:numId="7" w16cid:durableId="2129009910">
    <w:abstractNumId w:val="8"/>
  </w:num>
  <w:num w:numId="8" w16cid:durableId="1902473676">
    <w:abstractNumId w:val="1"/>
  </w:num>
  <w:num w:numId="9" w16cid:durableId="508525561">
    <w:abstractNumId w:val="12"/>
  </w:num>
  <w:num w:numId="10" w16cid:durableId="439303747">
    <w:abstractNumId w:val="9"/>
  </w:num>
  <w:num w:numId="11" w16cid:durableId="554387601">
    <w:abstractNumId w:val="0"/>
  </w:num>
  <w:num w:numId="12" w16cid:durableId="1270352069">
    <w:abstractNumId w:val="3"/>
  </w:num>
  <w:num w:numId="13" w16cid:durableId="1842813234">
    <w:abstractNumId w:val="6"/>
  </w:num>
  <w:num w:numId="14" w16cid:durableId="1708799348">
    <w:abstractNumId w:val="15"/>
  </w:num>
  <w:num w:numId="15" w16cid:durableId="1526676106">
    <w:abstractNumId w:val="4"/>
  </w:num>
  <w:num w:numId="16" w16cid:durableId="2096586070">
    <w:abstractNumId w:val="17"/>
  </w:num>
  <w:num w:numId="17" w16cid:durableId="952050715">
    <w:abstractNumId w:val="14"/>
  </w:num>
  <w:num w:numId="18" w16cid:durableId="587692578">
    <w:abstractNumId w:val="2"/>
  </w:num>
  <w:num w:numId="19" w16cid:durableId="1671833765">
    <w:abstractNumId w:val="13"/>
  </w:num>
  <w:num w:numId="20" w16cid:durableId="378821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8B"/>
    <w:rsid w:val="00062936"/>
    <w:rsid w:val="00062EF8"/>
    <w:rsid w:val="000C2C93"/>
    <w:rsid w:val="000D5A84"/>
    <w:rsid w:val="00102E46"/>
    <w:rsid w:val="00110087"/>
    <w:rsid w:val="00157555"/>
    <w:rsid w:val="001630A9"/>
    <w:rsid w:val="001B7CC9"/>
    <w:rsid w:val="001C5288"/>
    <w:rsid w:val="001E4789"/>
    <w:rsid w:val="00203B67"/>
    <w:rsid w:val="00205CB6"/>
    <w:rsid w:val="002F2B1B"/>
    <w:rsid w:val="00325DEF"/>
    <w:rsid w:val="00334363"/>
    <w:rsid w:val="0035131E"/>
    <w:rsid w:val="003A77ED"/>
    <w:rsid w:val="003D4F23"/>
    <w:rsid w:val="00400192"/>
    <w:rsid w:val="004669E0"/>
    <w:rsid w:val="00470AB1"/>
    <w:rsid w:val="00474174"/>
    <w:rsid w:val="004A095C"/>
    <w:rsid w:val="004D772B"/>
    <w:rsid w:val="005026BE"/>
    <w:rsid w:val="005418FB"/>
    <w:rsid w:val="00561DE0"/>
    <w:rsid w:val="005C1EE6"/>
    <w:rsid w:val="00622AC2"/>
    <w:rsid w:val="006441CA"/>
    <w:rsid w:val="006B4C27"/>
    <w:rsid w:val="007F1E9C"/>
    <w:rsid w:val="007F5A8B"/>
    <w:rsid w:val="0085121D"/>
    <w:rsid w:val="00884E11"/>
    <w:rsid w:val="008E13B7"/>
    <w:rsid w:val="008E7F67"/>
    <w:rsid w:val="008F1671"/>
    <w:rsid w:val="00970EF3"/>
    <w:rsid w:val="009E36A2"/>
    <w:rsid w:val="00A048C0"/>
    <w:rsid w:val="00A141CA"/>
    <w:rsid w:val="00A27323"/>
    <w:rsid w:val="00A461ED"/>
    <w:rsid w:val="00A663E6"/>
    <w:rsid w:val="00AA0D75"/>
    <w:rsid w:val="00AD6C5D"/>
    <w:rsid w:val="00B40B9D"/>
    <w:rsid w:val="00B8493C"/>
    <w:rsid w:val="00BA21C9"/>
    <w:rsid w:val="00BC646C"/>
    <w:rsid w:val="00BD0B90"/>
    <w:rsid w:val="00BD224D"/>
    <w:rsid w:val="00C10550"/>
    <w:rsid w:val="00C13159"/>
    <w:rsid w:val="00C245D4"/>
    <w:rsid w:val="00C424FA"/>
    <w:rsid w:val="00CC40F5"/>
    <w:rsid w:val="00CD4988"/>
    <w:rsid w:val="00CD6F1D"/>
    <w:rsid w:val="00D12CA1"/>
    <w:rsid w:val="00D21240"/>
    <w:rsid w:val="00D24B79"/>
    <w:rsid w:val="00D5675D"/>
    <w:rsid w:val="00D92D93"/>
    <w:rsid w:val="00E415BB"/>
    <w:rsid w:val="00E519DC"/>
    <w:rsid w:val="00E66E1E"/>
    <w:rsid w:val="00F312C0"/>
    <w:rsid w:val="00F43562"/>
    <w:rsid w:val="00F93FD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969BF"/>
  <w15:chartTrackingRefBased/>
  <w15:docId w15:val="{EE1F7DA4-6B3E-4341-A2CC-2017F4358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159"/>
  </w:style>
  <w:style w:type="paragraph" w:styleId="Titre1">
    <w:name w:val="heading 1"/>
    <w:basedOn w:val="Normal"/>
    <w:next w:val="Normal"/>
    <w:link w:val="Titre1Car"/>
    <w:uiPriority w:val="9"/>
    <w:qFormat/>
    <w:rsid w:val="007F5A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F5A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F5A8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F5A8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F5A8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F5A8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F5A8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F5A8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F5A8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F5A8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F5A8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F5A8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F5A8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F5A8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F5A8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F5A8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F5A8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F5A8B"/>
    <w:rPr>
      <w:rFonts w:eastAsiaTheme="majorEastAsia" w:cstheme="majorBidi"/>
      <w:color w:val="272727" w:themeColor="text1" w:themeTint="D8"/>
    </w:rPr>
  </w:style>
  <w:style w:type="paragraph" w:styleId="Titre">
    <w:name w:val="Title"/>
    <w:basedOn w:val="Normal"/>
    <w:next w:val="Normal"/>
    <w:link w:val="TitreCar"/>
    <w:uiPriority w:val="10"/>
    <w:qFormat/>
    <w:rsid w:val="007F5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F5A8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F5A8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F5A8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F5A8B"/>
    <w:pPr>
      <w:spacing w:before="160"/>
      <w:jc w:val="center"/>
    </w:pPr>
    <w:rPr>
      <w:i/>
      <w:iCs/>
      <w:color w:val="404040" w:themeColor="text1" w:themeTint="BF"/>
    </w:rPr>
  </w:style>
  <w:style w:type="character" w:customStyle="1" w:styleId="CitationCar">
    <w:name w:val="Citation Car"/>
    <w:basedOn w:val="Policepardfaut"/>
    <w:link w:val="Citation"/>
    <w:uiPriority w:val="29"/>
    <w:rsid w:val="007F5A8B"/>
    <w:rPr>
      <w:i/>
      <w:iCs/>
      <w:color w:val="404040" w:themeColor="text1" w:themeTint="BF"/>
    </w:rPr>
  </w:style>
  <w:style w:type="paragraph" w:styleId="Paragraphedeliste">
    <w:name w:val="List Paragraph"/>
    <w:basedOn w:val="Normal"/>
    <w:uiPriority w:val="34"/>
    <w:qFormat/>
    <w:rsid w:val="007F5A8B"/>
    <w:pPr>
      <w:ind w:left="720"/>
      <w:contextualSpacing/>
    </w:pPr>
  </w:style>
  <w:style w:type="character" w:styleId="Accentuationintense">
    <w:name w:val="Intense Emphasis"/>
    <w:basedOn w:val="Policepardfaut"/>
    <w:uiPriority w:val="21"/>
    <w:qFormat/>
    <w:rsid w:val="007F5A8B"/>
    <w:rPr>
      <w:i/>
      <w:iCs/>
      <w:color w:val="2F5496" w:themeColor="accent1" w:themeShade="BF"/>
    </w:rPr>
  </w:style>
  <w:style w:type="paragraph" w:styleId="Citationintense">
    <w:name w:val="Intense Quote"/>
    <w:basedOn w:val="Normal"/>
    <w:next w:val="Normal"/>
    <w:link w:val="CitationintenseCar"/>
    <w:uiPriority w:val="30"/>
    <w:qFormat/>
    <w:rsid w:val="007F5A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F5A8B"/>
    <w:rPr>
      <w:i/>
      <w:iCs/>
      <w:color w:val="2F5496" w:themeColor="accent1" w:themeShade="BF"/>
    </w:rPr>
  </w:style>
  <w:style w:type="character" w:styleId="Rfrenceintense">
    <w:name w:val="Intense Reference"/>
    <w:basedOn w:val="Policepardfaut"/>
    <w:uiPriority w:val="32"/>
    <w:qFormat/>
    <w:rsid w:val="007F5A8B"/>
    <w:rPr>
      <w:b/>
      <w:bCs/>
      <w:smallCaps/>
      <w:color w:val="2F5496" w:themeColor="accent1" w:themeShade="BF"/>
      <w:spacing w:val="5"/>
    </w:rPr>
  </w:style>
  <w:style w:type="character" w:styleId="Lienhypertexte">
    <w:name w:val="Hyperlink"/>
    <w:basedOn w:val="Policepardfaut"/>
    <w:uiPriority w:val="99"/>
    <w:unhideWhenUsed/>
    <w:rsid w:val="00E415BB"/>
    <w:rPr>
      <w:color w:val="0563C1" w:themeColor="hyperlink"/>
      <w:u w:val="single"/>
    </w:rPr>
  </w:style>
  <w:style w:type="character" w:styleId="Mentionnonrsolue">
    <w:name w:val="Unresolved Mention"/>
    <w:basedOn w:val="Policepardfaut"/>
    <w:uiPriority w:val="99"/>
    <w:semiHidden/>
    <w:unhideWhenUsed/>
    <w:rsid w:val="00E415BB"/>
    <w:rPr>
      <w:color w:val="605E5C"/>
      <w:shd w:val="clear" w:color="auto" w:fill="E1DFDD"/>
    </w:rPr>
  </w:style>
  <w:style w:type="table" w:styleId="Grilledutableau">
    <w:name w:val="Table Grid"/>
    <w:basedOn w:val="TableauNormal"/>
    <w:uiPriority w:val="39"/>
    <w:rsid w:val="008E1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de.ec.europa.eu/access-to-markets/fr/news/mecanisme-dajustement-carbone-aux-frontieres-macf" TargetMode="External"/><Relationship Id="rId3" Type="http://schemas.openxmlformats.org/officeDocument/2006/relationships/settings" Target="settings.xml"/><Relationship Id="rId7" Type="http://schemas.openxmlformats.org/officeDocument/2006/relationships/hyperlink" Target="https://taxation-customs.ec.europa.eu/carbon-border-adjustment-mechanism_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stoms-taxation.learning.europa.eu/local/mvpdgtaxud/trainingcatalog/index.php"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1968</Words>
  <Characters>10826</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Samir IDRISSI</cp:lastModifiedBy>
  <cp:revision>2</cp:revision>
  <dcterms:created xsi:type="dcterms:W3CDTF">2026-01-07T11:35:00Z</dcterms:created>
  <dcterms:modified xsi:type="dcterms:W3CDTF">2026-01-07T11:35:00Z</dcterms:modified>
</cp:coreProperties>
</file>